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CS</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PŘÍLOHA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POKYNY PRO PODÁVÁNÍ ZPRÁV O PÁCE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5B3F64C" w14:textId="5FFCCEDF" w:rsidR="00517669"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4035840" w:history="1">
        <w:r w:rsidR="00517669" w:rsidRPr="0003459E">
          <w:rPr>
            <w:rStyle w:val="Hyperlink"/>
            <w:rFonts w:ascii="Times New Roman" w:hAnsi="Times New Roman"/>
            <w:b/>
          </w:rPr>
          <w:t>ČÁST I: OBECNÉ POKYNY</w:t>
        </w:r>
        <w:r w:rsidR="00517669">
          <w:rPr>
            <w:webHidden/>
          </w:rPr>
          <w:tab/>
        </w:r>
        <w:r w:rsidR="00517669">
          <w:rPr>
            <w:webHidden/>
          </w:rPr>
          <w:fldChar w:fldCharType="begin"/>
        </w:r>
        <w:r w:rsidR="00517669">
          <w:rPr>
            <w:webHidden/>
          </w:rPr>
          <w:instrText xml:space="preserve"> PAGEREF _Toc184035840 \h </w:instrText>
        </w:r>
        <w:r w:rsidR="00517669">
          <w:rPr>
            <w:webHidden/>
          </w:rPr>
        </w:r>
        <w:r w:rsidR="00517669">
          <w:rPr>
            <w:webHidden/>
          </w:rPr>
          <w:fldChar w:fldCharType="separate"/>
        </w:r>
        <w:r w:rsidR="00517669">
          <w:rPr>
            <w:webHidden/>
          </w:rPr>
          <w:t>2</w:t>
        </w:r>
        <w:r w:rsidR="00517669">
          <w:rPr>
            <w:webHidden/>
          </w:rPr>
          <w:fldChar w:fldCharType="end"/>
        </w:r>
      </w:hyperlink>
    </w:p>
    <w:p w14:paraId="13FCB8D3" w14:textId="58B65789"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41" w:history="1">
        <w:r w:rsidR="00517669" w:rsidRPr="0003459E">
          <w:rPr>
            <w:rStyle w:val="Hyperlink"/>
            <w:rFonts w:ascii="Times New Roman" w:hAnsi="Times New Roman"/>
          </w:rPr>
          <w:t>1.</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Struktura a jiné konvence</w:t>
        </w:r>
        <w:r w:rsidR="00517669">
          <w:rPr>
            <w:webHidden/>
          </w:rPr>
          <w:tab/>
        </w:r>
        <w:r w:rsidR="00517669">
          <w:rPr>
            <w:webHidden/>
          </w:rPr>
          <w:fldChar w:fldCharType="begin"/>
        </w:r>
        <w:r w:rsidR="00517669">
          <w:rPr>
            <w:webHidden/>
          </w:rPr>
          <w:instrText xml:space="preserve"> PAGEREF _Toc184035841 \h </w:instrText>
        </w:r>
        <w:r w:rsidR="00517669">
          <w:rPr>
            <w:webHidden/>
          </w:rPr>
        </w:r>
        <w:r w:rsidR="00517669">
          <w:rPr>
            <w:webHidden/>
          </w:rPr>
          <w:fldChar w:fldCharType="separate"/>
        </w:r>
        <w:r w:rsidR="00517669">
          <w:rPr>
            <w:webHidden/>
          </w:rPr>
          <w:t>2</w:t>
        </w:r>
        <w:r w:rsidR="00517669">
          <w:rPr>
            <w:webHidden/>
          </w:rPr>
          <w:fldChar w:fldCharType="end"/>
        </w:r>
      </w:hyperlink>
    </w:p>
    <w:p w14:paraId="614B29D4" w14:textId="076C9A1B" w:rsidR="00517669" w:rsidRDefault="00C9270D">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4035842" w:history="1">
        <w:r w:rsidR="00517669" w:rsidRPr="0003459E">
          <w:rPr>
            <w:rStyle w:val="Hyperlink"/>
            <w:rFonts w:ascii="Times New Roman" w:hAnsi="Times New Roman"/>
            <w:b/>
          </w:rPr>
          <w:t>1.1</w:t>
        </w:r>
        <w:r w:rsidR="00517669">
          <w:rPr>
            <w:rFonts w:asciiTheme="minorHAnsi" w:eastAsiaTheme="minorEastAsia" w:hAnsiTheme="minorHAnsi" w:cstheme="minorBidi"/>
            <w:smallCaps w:val="0"/>
            <w:kern w:val="2"/>
            <w:sz w:val="22"/>
            <w:szCs w:val="22"/>
            <w:lang w:val="en-IE" w:eastAsia="en-IE"/>
            <w14:ligatures w14:val="standardContextual"/>
          </w:rPr>
          <w:tab/>
        </w:r>
        <w:r w:rsidR="00517669" w:rsidRPr="0003459E">
          <w:rPr>
            <w:rStyle w:val="Hyperlink"/>
            <w:rFonts w:ascii="Times New Roman" w:hAnsi="Times New Roman"/>
            <w:b/>
          </w:rPr>
          <w:t>Struktura</w:t>
        </w:r>
        <w:r w:rsidR="00517669">
          <w:rPr>
            <w:webHidden/>
          </w:rPr>
          <w:tab/>
        </w:r>
        <w:r w:rsidR="00517669">
          <w:rPr>
            <w:webHidden/>
          </w:rPr>
          <w:fldChar w:fldCharType="begin"/>
        </w:r>
        <w:r w:rsidR="00517669">
          <w:rPr>
            <w:webHidden/>
          </w:rPr>
          <w:instrText xml:space="preserve"> PAGEREF _Toc184035842 \h </w:instrText>
        </w:r>
        <w:r w:rsidR="00517669">
          <w:rPr>
            <w:webHidden/>
          </w:rPr>
        </w:r>
        <w:r w:rsidR="00517669">
          <w:rPr>
            <w:webHidden/>
          </w:rPr>
          <w:fldChar w:fldCharType="separate"/>
        </w:r>
        <w:r w:rsidR="00517669">
          <w:rPr>
            <w:webHidden/>
          </w:rPr>
          <w:t>2</w:t>
        </w:r>
        <w:r w:rsidR="00517669">
          <w:rPr>
            <w:webHidden/>
          </w:rPr>
          <w:fldChar w:fldCharType="end"/>
        </w:r>
      </w:hyperlink>
    </w:p>
    <w:p w14:paraId="1B90862E" w14:textId="132A9087" w:rsidR="00517669" w:rsidRDefault="00C9270D">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4035843" w:history="1">
        <w:r w:rsidR="00517669" w:rsidRPr="0003459E">
          <w:rPr>
            <w:rStyle w:val="Hyperlink"/>
            <w:rFonts w:ascii="Times New Roman" w:hAnsi="Times New Roman"/>
            <w:b/>
          </w:rPr>
          <w:t>1.2</w:t>
        </w:r>
        <w:r w:rsidR="00517669">
          <w:rPr>
            <w:rFonts w:asciiTheme="minorHAnsi" w:eastAsiaTheme="minorEastAsia" w:hAnsiTheme="minorHAnsi" w:cstheme="minorBidi"/>
            <w:smallCaps w:val="0"/>
            <w:kern w:val="2"/>
            <w:sz w:val="22"/>
            <w:szCs w:val="22"/>
            <w:lang w:val="en-IE" w:eastAsia="en-IE"/>
            <w14:ligatures w14:val="standardContextual"/>
          </w:rPr>
          <w:tab/>
        </w:r>
        <w:r w:rsidR="00517669" w:rsidRPr="0003459E">
          <w:rPr>
            <w:rStyle w:val="Hyperlink"/>
            <w:rFonts w:ascii="Times New Roman" w:hAnsi="Times New Roman"/>
            <w:b/>
          </w:rPr>
          <w:t>Konvence v oblasti číslování</w:t>
        </w:r>
        <w:r w:rsidR="00517669">
          <w:rPr>
            <w:webHidden/>
          </w:rPr>
          <w:tab/>
        </w:r>
        <w:r w:rsidR="00517669">
          <w:rPr>
            <w:webHidden/>
          </w:rPr>
          <w:fldChar w:fldCharType="begin"/>
        </w:r>
        <w:r w:rsidR="00517669">
          <w:rPr>
            <w:webHidden/>
          </w:rPr>
          <w:instrText xml:space="preserve"> PAGEREF _Toc184035843 \h </w:instrText>
        </w:r>
        <w:r w:rsidR="00517669">
          <w:rPr>
            <w:webHidden/>
          </w:rPr>
        </w:r>
        <w:r w:rsidR="00517669">
          <w:rPr>
            <w:webHidden/>
          </w:rPr>
          <w:fldChar w:fldCharType="separate"/>
        </w:r>
        <w:r w:rsidR="00517669">
          <w:rPr>
            <w:webHidden/>
          </w:rPr>
          <w:t>2</w:t>
        </w:r>
        <w:r w:rsidR="00517669">
          <w:rPr>
            <w:webHidden/>
          </w:rPr>
          <w:fldChar w:fldCharType="end"/>
        </w:r>
      </w:hyperlink>
    </w:p>
    <w:p w14:paraId="12785639" w14:textId="06465C6B" w:rsidR="00517669" w:rsidRDefault="00C9270D">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4035844" w:history="1">
        <w:r w:rsidR="00517669" w:rsidRPr="0003459E">
          <w:rPr>
            <w:rStyle w:val="Hyperlink"/>
            <w:rFonts w:ascii="Times New Roman" w:hAnsi="Times New Roman"/>
            <w:b/>
          </w:rPr>
          <w:t>1.3</w:t>
        </w:r>
        <w:r w:rsidR="00517669">
          <w:rPr>
            <w:rFonts w:asciiTheme="minorHAnsi" w:eastAsiaTheme="minorEastAsia" w:hAnsiTheme="minorHAnsi" w:cstheme="minorBidi"/>
            <w:smallCaps w:val="0"/>
            <w:kern w:val="2"/>
            <w:sz w:val="22"/>
            <w:szCs w:val="22"/>
            <w:lang w:val="en-IE" w:eastAsia="en-IE"/>
            <w14:ligatures w14:val="standardContextual"/>
          </w:rPr>
          <w:tab/>
        </w:r>
        <w:r w:rsidR="00517669" w:rsidRPr="0003459E">
          <w:rPr>
            <w:rStyle w:val="Hyperlink"/>
            <w:rFonts w:ascii="Times New Roman" w:hAnsi="Times New Roman"/>
            <w:b/>
          </w:rPr>
          <w:t>Zkratky</w:t>
        </w:r>
        <w:r w:rsidR="00517669">
          <w:rPr>
            <w:webHidden/>
          </w:rPr>
          <w:tab/>
        </w:r>
        <w:r w:rsidR="00517669">
          <w:rPr>
            <w:webHidden/>
          </w:rPr>
          <w:fldChar w:fldCharType="begin"/>
        </w:r>
        <w:r w:rsidR="00517669">
          <w:rPr>
            <w:webHidden/>
          </w:rPr>
          <w:instrText xml:space="preserve"> PAGEREF _Toc184035844 \h </w:instrText>
        </w:r>
        <w:r w:rsidR="00517669">
          <w:rPr>
            <w:webHidden/>
          </w:rPr>
        </w:r>
        <w:r w:rsidR="00517669">
          <w:rPr>
            <w:webHidden/>
          </w:rPr>
          <w:fldChar w:fldCharType="separate"/>
        </w:r>
        <w:r w:rsidR="00517669">
          <w:rPr>
            <w:webHidden/>
          </w:rPr>
          <w:t>2</w:t>
        </w:r>
        <w:r w:rsidR="00517669">
          <w:rPr>
            <w:webHidden/>
          </w:rPr>
          <w:fldChar w:fldCharType="end"/>
        </w:r>
      </w:hyperlink>
    </w:p>
    <w:p w14:paraId="2D90956F" w14:textId="3C4BB341" w:rsidR="00517669" w:rsidRDefault="00C9270D">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4035845" w:history="1">
        <w:r w:rsidR="00517669" w:rsidRPr="0003459E">
          <w:rPr>
            <w:rStyle w:val="Hyperlink"/>
            <w:rFonts w:ascii="Times New Roman" w:hAnsi="Times New Roman"/>
            <w:b/>
          </w:rPr>
          <w:t>1.4</w:t>
        </w:r>
        <w:r w:rsidR="00517669">
          <w:rPr>
            <w:rFonts w:asciiTheme="minorHAnsi" w:eastAsiaTheme="minorEastAsia" w:hAnsiTheme="minorHAnsi" w:cstheme="minorBidi"/>
            <w:smallCaps w:val="0"/>
            <w:kern w:val="2"/>
            <w:sz w:val="22"/>
            <w:szCs w:val="22"/>
            <w:lang w:val="en-IE" w:eastAsia="en-IE"/>
            <w14:ligatures w14:val="standardContextual"/>
          </w:rPr>
          <w:tab/>
        </w:r>
        <w:r w:rsidR="00517669" w:rsidRPr="0003459E">
          <w:rPr>
            <w:rStyle w:val="Hyperlink"/>
            <w:rFonts w:ascii="Times New Roman" w:hAnsi="Times New Roman"/>
            <w:b/>
          </w:rPr>
          <w:t>Konvence v oblasti znamének</w:t>
        </w:r>
        <w:r w:rsidR="00517669">
          <w:rPr>
            <w:webHidden/>
          </w:rPr>
          <w:tab/>
        </w:r>
        <w:r w:rsidR="00517669">
          <w:rPr>
            <w:webHidden/>
          </w:rPr>
          <w:fldChar w:fldCharType="begin"/>
        </w:r>
        <w:r w:rsidR="00517669">
          <w:rPr>
            <w:webHidden/>
          </w:rPr>
          <w:instrText xml:space="preserve"> PAGEREF _Toc184035845 \h </w:instrText>
        </w:r>
        <w:r w:rsidR="00517669">
          <w:rPr>
            <w:webHidden/>
          </w:rPr>
        </w:r>
        <w:r w:rsidR="00517669">
          <w:rPr>
            <w:webHidden/>
          </w:rPr>
          <w:fldChar w:fldCharType="separate"/>
        </w:r>
        <w:r w:rsidR="00517669">
          <w:rPr>
            <w:webHidden/>
          </w:rPr>
          <w:t>3</w:t>
        </w:r>
        <w:r w:rsidR="00517669">
          <w:rPr>
            <w:webHidden/>
          </w:rPr>
          <w:fldChar w:fldCharType="end"/>
        </w:r>
      </w:hyperlink>
    </w:p>
    <w:p w14:paraId="1EC19D2A" w14:textId="359C4E65" w:rsidR="00517669" w:rsidRDefault="00C9270D">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035846" w:history="1">
        <w:r w:rsidR="00517669" w:rsidRPr="0003459E">
          <w:rPr>
            <w:rStyle w:val="Hyperlink"/>
            <w:rFonts w:ascii="Times New Roman" w:hAnsi="Times New Roman"/>
            <w:b/>
          </w:rPr>
          <w:t>ČÁST II: POKYNY PRO VYPLNĚNÍ ŠABLONY</w:t>
        </w:r>
        <w:r w:rsidR="00517669">
          <w:rPr>
            <w:webHidden/>
          </w:rPr>
          <w:tab/>
        </w:r>
        <w:r w:rsidR="00517669">
          <w:rPr>
            <w:webHidden/>
          </w:rPr>
          <w:fldChar w:fldCharType="begin"/>
        </w:r>
        <w:r w:rsidR="00517669">
          <w:rPr>
            <w:webHidden/>
          </w:rPr>
          <w:instrText xml:space="preserve"> PAGEREF _Toc184035846 \h </w:instrText>
        </w:r>
        <w:r w:rsidR="00517669">
          <w:rPr>
            <w:webHidden/>
          </w:rPr>
        </w:r>
        <w:r w:rsidR="00517669">
          <w:rPr>
            <w:webHidden/>
          </w:rPr>
          <w:fldChar w:fldCharType="separate"/>
        </w:r>
        <w:r w:rsidR="00517669">
          <w:rPr>
            <w:webHidden/>
          </w:rPr>
          <w:t>4</w:t>
        </w:r>
        <w:r w:rsidR="00517669">
          <w:rPr>
            <w:webHidden/>
          </w:rPr>
          <w:fldChar w:fldCharType="end"/>
        </w:r>
      </w:hyperlink>
    </w:p>
    <w:p w14:paraId="04B725EF" w14:textId="3B5782DE"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47" w:history="1">
        <w:r w:rsidR="00517669" w:rsidRPr="0003459E">
          <w:rPr>
            <w:rStyle w:val="Hyperlink"/>
            <w:rFonts w:ascii="Times New Roman" w:hAnsi="Times New Roman"/>
          </w:rPr>
          <w:t>1.</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Vzorce pro výpočet pákového poměru</w:t>
        </w:r>
        <w:r w:rsidR="00517669">
          <w:rPr>
            <w:webHidden/>
          </w:rPr>
          <w:tab/>
        </w:r>
        <w:r w:rsidR="00517669">
          <w:rPr>
            <w:webHidden/>
          </w:rPr>
          <w:fldChar w:fldCharType="begin"/>
        </w:r>
        <w:r w:rsidR="00517669">
          <w:rPr>
            <w:webHidden/>
          </w:rPr>
          <w:instrText xml:space="preserve"> PAGEREF _Toc184035847 \h </w:instrText>
        </w:r>
        <w:r w:rsidR="00517669">
          <w:rPr>
            <w:webHidden/>
          </w:rPr>
        </w:r>
        <w:r w:rsidR="00517669">
          <w:rPr>
            <w:webHidden/>
          </w:rPr>
          <w:fldChar w:fldCharType="separate"/>
        </w:r>
        <w:r w:rsidR="00517669">
          <w:rPr>
            <w:webHidden/>
          </w:rPr>
          <w:t>4</w:t>
        </w:r>
        <w:r w:rsidR="00517669">
          <w:rPr>
            <w:webHidden/>
          </w:rPr>
          <w:fldChar w:fldCharType="end"/>
        </w:r>
      </w:hyperlink>
    </w:p>
    <w:p w14:paraId="0136F4DB" w14:textId="144D8910"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48" w:history="1">
        <w:r w:rsidR="00517669" w:rsidRPr="0003459E">
          <w:rPr>
            <w:rStyle w:val="Hyperlink"/>
            <w:rFonts w:ascii="Times New Roman" w:hAnsi="Times New Roman"/>
          </w:rPr>
          <w:t>2.</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Hranice významnosti pro deriváty</w:t>
        </w:r>
        <w:r w:rsidR="00517669">
          <w:rPr>
            <w:webHidden/>
          </w:rPr>
          <w:tab/>
        </w:r>
        <w:r w:rsidR="00517669">
          <w:rPr>
            <w:webHidden/>
          </w:rPr>
          <w:fldChar w:fldCharType="begin"/>
        </w:r>
        <w:r w:rsidR="00517669">
          <w:rPr>
            <w:webHidden/>
          </w:rPr>
          <w:instrText xml:space="preserve"> PAGEREF _Toc184035848 \h </w:instrText>
        </w:r>
        <w:r w:rsidR="00517669">
          <w:rPr>
            <w:webHidden/>
          </w:rPr>
        </w:r>
        <w:r w:rsidR="00517669">
          <w:rPr>
            <w:webHidden/>
          </w:rPr>
          <w:fldChar w:fldCharType="separate"/>
        </w:r>
        <w:r w:rsidR="00517669">
          <w:rPr>
            <w:webHidden/>
          </w:rPr>
          <w:t>4</w:t>
        </w:r>
        <w:r w:rsidR="00517669">
          <w:rPr>
            <w:webHidden/>
          </w:rPr>
          <w:fldChar w:fldCharType="end"/>
        </w:r>
      </w:hyperlink>
    </w:p>
    <w:p w14:paraId="345C1D6C" w14:textId="3DADBF8D"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49" w:history="1">
        <w:r w:rsidR="00517669" w:rsidRPr="0003459E">
          <w:rPr>
            <w:rStyle w:val="Hyperlink"/>
            <w:rFonts w:ascii="Times New Roman" w:hAnsi="Times New Roman"/>
          </w:rPr>
          <w:t>3.</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47.00 – Výpočet pákového poměru</w:t>
        </w:r>
        <w:r w:rsidR="00517669" w:rsidRPr="0003459E">
          <w:rPr>
            <w:rStyle w:val="Hyperlink"/>
          </w:rPr>
          <w:t xml:space="preserve"> </w:t>
        </w:r>
        <w:r w:rsidR="00517669" w:rsidRPr="0003459E">
          <w:rPr>
            <w:rStyle w:val="Hyperlink"/>
            <w:rFonts w:ascii="Times New Roman" w:hAnsi="Times New Roman"/>
          </w:rPr>
          <w:t>(LRCalc)</w:t>
        </w:r>
        <w:r w:rsidR="00517669">
          <w:rPr>
            <w:webHidden/>
          </w:rPr>
          <w:tab/>
        </w:r>
        <w:r w:rsidR="00517669">
          <w:rPr>
            <w:webHidden/>
          </w:rPr>
          <w:fldChar w:fldCharType="begin"/>
        </w:r>
        <w:r w:rsidR="00517669">
          <w:rPr>
            <w:webHidden/>
          </w:rPr>
          <w:instrText xml:space="preserve"> PAGEREF _Toc184035849 \h </w:instrText>
        </w:r>
        <w:r w:rsidR="00517669">
          <w:rPr>
            <w:webHidden/>
          </w:rPr>
        </w:r>
        <w:r w:rsidR="00517669">
          <w:rPr>
            <w:webHidden/>
          </w:rPr>
          <w:fldChar w:fldCharType="separate"/>
        </w:r>
        <w:r w:rsidR="00517669">
          <w:rPr>
            <w:webHidden/>
          </w:rPr>
          <w:t>5</w:t>
        </w:r>
        <w:r w:rsidR="00517669">
          <w:rPr>
            <w:webHidden/>
          </w:rPr>
          <w:fldChar w:fldCharType="end"/>
        </w:r>
      </w:hyperlink>
    </w:p>
    <w:p w14:paraId="4CE183FD" w14:textId="0AACCFF2"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0" w:history="1">
        <w:r w:rsidR="00517669" w:rsidRPr="0003459E">
          <w:rPr>
            <w:rStyle w:val="Hyperlink"/>
            <w:rFonts w:ascii="Times New Roman" w:hAnsi="Times New Roman"/>
          </w:rPr>
          <w:t>4.</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40.00 – Alternativní postup určení míry expozice (LR1)</w:t>
        </w:r>
        <w:r w:rsidR="00517669">
          <w:rPr>
            <w:webHidden/>
          </w:rPr>
          <w:tab/>
        </w:r>
        <w:r w:rsidR="00517669">
          <w:rPr>
            <w:webHidden/>
          </w:rPr>
          <w:fldChar w:fldCharType="begin"/>
        </w:r>
        <w:r w:rsidR="00517669">
          <w:rPr>
            <w:webHidden/>
          </w:rPr>
          <w:instrText xml:space="preserve"> PAGEREF _Toc184035850 \h </w:instrText>
        </w:r>
        <w:r w:rsidR="00517669">
          <w:rPr>
            <w:webHidden/>
          </w:rPr>
        </w:r>
        <w:r w:rsidR="00517669">
          <w:rPr>
            <w:webHidden/>
          </w:rPr>
          <w:fldChar w:fldCharType="separate"/>
        </w:r>
        <w:r w:rsidR="00517669">
          <w:rPr>
            <w:webHidden/>
          </w:rPr>
          <w:t>31</w:t>
        </w:r>
        <w:r w:rsidR="00517669">
          <w:rPr>
            <w:webHidden/>
          </w:rPr>
          <w:fldChar w:fldCharType="end"/>
        </w:r>
      </w:hyperlink>
    </w:p>
    <w:p w14:paraId="02915865" w14:textId="29C5DEEC"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1" w:history="1">
        <w:r w:rsidR="00517669" w:rsidRPr="0003459E">
          <w:rPr>
            <w:rStyle w:val="Hyperlink"/>
            <w:rFonts w:ascii="Times New Roman" w:hAnsi="Times New Roman"/>
          </w:rPr>
          <w:t>5.</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43.00 – Alternativní členění složek míry expozice pákového poměru (LR4)</w:t>
        </w:r>
        <w:r w:rsidR="00517669">
          <w:rPr>
            <w:webHidden/>
          </w:rPr>
          <w:tab/>
        </w:r>
        <w:r w:rsidR="00517669">
          <w:rPr>
            <w:webHidden/>
          </w:rPr>
          <w:fldChar w:fldCharType="begin"/>
        </w:r>
        <w:r w:rsidR="00517669">
          <w:rPr>
            <w:webHidden/>
          </w:rPr>
          <w:instrText xml:space="preserve"> PAGEREF _Toc184035851 \h </w:instrText>
        </w:r>
        <w:r w:rsidR="00517669">
          <w:rPr>
            <w:webHidden/>
          </w:rPr>
        </w:r>
        <w:r w:rsidR="00517669">
          <w:rPr>
            <w:webHidden/>
          </w:rPr>
          <w:fldChar w:fldCharType="separate"/>
        </w:r>
        <w:r w:rsidR="00517669">
          <w:rPr>
            <w:webHidden/>
          </w:rPr>
          <w:t>42</w:t>
        </w:r>
        <w:r w:rsidR="00517669">
          <w:rPr>
            <w:webHidden/>
          </w:rPr>
          <w:fldChar w:fldCharType="end"/>
        </w:r>
      </w:hyperlink>
    </w:p>
    <w:p w14:paraId="1CF8BD76" w14:textId="11CEFAE5"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2" w:history="1">
        <w:r w:rsidR="00517669" w:rsidRPr="0003459E">
          <w:rPr>
            <w:rStyle w:val="Hyperlink"/>
            <w:rFonts w:ascii="Times New Roman" w:hAnsi="Times New Roman"/>
          </w:rPr>
          <w:t>6.</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44.00 – Obecné informace (LR5)</w:t>
        </w:r>
        <w:r w:rsidR="00517669">
          <w:rPr>
            <w:webHidden/>
          </w:rPr>
          <w:tab/>
        </w:r>
        <w:r w:rsidR="00517669">
          <w:rPr>
            <w:webHidden/>
          </w:rPr>
          <w:fldChar w:fldCharType="begin"/>
        </w:r>
        <w:r w:rsidR="00517669">
          <w:rPr>
            <w:webHidden/>
          </w:rPr>
          <w:instrText xml:space="preserve"> PAGEREF _Toc184035852 \h </w:instrText>
        </w:r>
        <w:r w:rsidR="00517669">
          <w:rPr>
            <w:webHidden/>
          </w:rPr>
        </w:r>
        <w:r w:rsidR="00517669">
          <w:rPr>
            <w:webHidden/>
          </w:rPr>
          <w:fldChar w:fldCharType="separate"/>
        </w:r>
        <w:r w:rsidR="00517669">
          <w:rPr>
            <w:webHidden/>
          </w:rPr>
          <w:t>68</w:t>
        </w:r>
        <w:r w:rsidR="00517669">
          <w:rPr>
            <w:webHidden/>
          </w:rPr>
          <w:fldChar w:fldCharType="end"/>
        </w:r>
      </w:hyperlink>
    </w:p>
    <w:p w14:paraId="0D891623" w14:textId="178B3C26"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3" w:history="1">
        <w:r w:rsidR="00517669" w:rsidRPr="0003459E">
          <w:rPr>
            <w:rStyle w:val="Hyperlink"/>
            <w:rFonts w:ascii="Times New Roman" w:hAnsi="Times New Roman"/>
          </w:rPr>
          <w:t>7.</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48.00 Volatilita pákového poměru (LR6)</w:t>
        </w:r>
        <w:r w:rsidR="00517669">
          <w:rPr>
            <w:webHidden/>
          </w:rPr>
          <w:tab/>
        </w:r>
        <w:r w:rsidR="00517669">
          <w:rPr>
            <w:webHidden/>
          </w:rPr>
          <w:fldChar w:fldCharType="begin"/>
        </w:r>
        <w:r w:rsidR="00517669">
          <w:rPr>
            <w:webHidden/>
          </w:rPr>
          <w:instrText xml:space="preserve"> PAGEREF _Toc184035853 \h </w:instrText>
        </w:r>
        <w:r w:rsidR="00517669">
          <w:rPr>
            <w:webHidden/>
          </w:rPr>
        </w:r>
        <w:r w:rsidR="00517669">
          <w:rPr>
            <w:webHidden/>
          </w:rPr>
          <w:fldChar w:fldCharType="separate"/>
        </w:r>
        <w:r w:rsidR="00517669">
          <w:rPr>
            <w:webHidden/>
          </w:rPr>
          <w:t>70</w:t>
        </w:r>
        <w:r w:rsidR="00517669">
          <w:rPr>
            <w:webHidden/>
          </w:rPr>
          <w:fldChar w:fldCharType="end"/>
        </w:r>
      </w:hyperlink>
    </w:p>
    <w:p w14:paraId="5F230505" w14:textId="57242D5C"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4" w:history="1">
        <w:r w:rsidR="00517669" w:rsidRPr="0003459E">
          <w:rPr>
            <w:rStyle w:val="Hyperlink"/>
            <w:rFonts w:ascii="Times New Roman" w:hAnsi="Times New Roman"/>
          </w:rPr>
          <w:t>8.</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48.01 Volatilita pákového poměru: střední hodnota za vykazované období</w:t>
        </w:r>
        <w:r w:rsidR="00517669">
          <w:rPr>
            <w:webHidden/>
          </w:rPr>
          <w:tab/>
        </w:r>
        <w:r w:rsidR="00517669">
          <w:rPr>
            <w:webHidden/>
          </w:rPr>
          <w:fldChar w:fldCharType="begin"/>
        </w:r>
        <w:r w:rsidR="00517669">
          <w:rPr>
            <w:webHidden/>
          </w:rPr>
          <w:instrText xml:space="preserve"> PAGEREF _Toc184035854 \h </w:instrText>
        </w:r>
        <w:r w:rsidR="00517669">
          <w:rPr>
            <w:webHidden/>
          </w:rPr>
        </w:r>
        <w:r w:rsidR="00517669">
          <w:rPr>
            <w:webHidden/>
          </w:rPr>
          <w:fldChar w:fldCharType="separate"/>
        </w:r>
        <w:r w:rsidR="00517669">
          <w:rPr>
            <w:webHidden/>
          </w:rPr>
          <w:t>70</w:t>
        </w:r>
        <w:r w:rsidR="00517669">
          <w:rPr>
            <w:webHidden/>
          </w:rPr>
          <w:fldChar w:fldCharType="end"/>
        </w:r>
      </w:hyperlink>
    </w:p>
    <w:p w14:paraId="5D847585" w14:textId="3865DA36" w:rsidR="00517669" w:rsidRDefault="00C9270D">
      <w:pPr>
        <w:pStyle w:val="TOC2"/>
        <w:rPr>
          <w:rFonts w:asciiTheme="minorHAnsi" w:eastAsiaTheme="minorEastAsia" w:hAnsiTheme="minorHAnsi" w:cstheme="minorBidi"/>
          <w:b w:val="0"/>
          <w:smallCaps w:val="0"/>
          <w:kern w:val="2"/>
          <w:sz w:val="22"/>
          <w:lang w:val="en-IE" w:eastAsia="en-IE"/>
          <w14:ligatures w14:val="standardContextual"/>
        </w:rPr>
      </w:pPr>
      <w:hyperlink w:anchor="_Toc184035855" w:history="1">
        <w:r w:rsidR="00517669" w:rsidRPr="0003459E">
          <w:rPr>
            <w:rStyle w:val="Hyperlink"/>
            <w:rFonts w:ascii="Times New Roman" w:hAnsi="Times New Roman"/>
          </w:rPr>
          <w:t>9.</w:t>
        </w:r>
        <w:r w:rsidR="00517669">
          <w:rPr>
            <w:rFonts w:asciiTheme="minorHAnsi" w:eastAsiaTheme="minorEastAsia" w:hAnsiTheme="minorHAnsi" w:cstheme="minorBidi"/>
            <w:b w:val="0"/>
            <w:smallCaps w:val="0"/>
            <w:kern w:val="2"/>
            <w:sz w:val="22"/>
            <w:lang w:val="en-IE" w:eastAsia="en-IE"/>
            <w14:ligatures w14:val="standardContextual"/>
          </w:rPr>
          <w:tab/>
        </w:r>
        <w:r w:rsidR="00517669" w:rsidRPr="0003459E">
          <w:rPr>
            <w:rStyle w:val="Hyperlink"/>
            <w:rFonts w:ascii="Times New Roman" w:hAnsi="Times New Roman"/>
          </w:rPr>
          <w:t>C 48.02 Volatilita pákového poměru: denní hodnoty za vykazované období</w:t>
        </w:r>
        <w:r w:rsidR="00517669">
          <w:rPr>
            <w:webHidden/>
          </w:rPr>
          <w:tab/>
        </w:r>
        <w:r w:rsidR="00517669">
          <w:rPr>
            <w:webHidden/>
          </w:rPr>
          <w:fldChar w:fldCharType="begin"/>
        </w:r>
        <w:r w:rsidR="00517669">
          <w:rPr>
            <w:webHidden/>
          </w:rPr>
          <w:instrText xml:space="preserve"> PAGEREF _Toc184035855 \h </w:instrText>
        </w:r>
        <w:r w:rsidR="00517669">
          <w:rPr>
            <w:webHidden/>
          </w:rPr>
        </w:r>
        <w:r w:rsidR="00517669">
          <w:rPr>
            <w:webHidden/>
          </w:rPr>
          <w:fldChar w:fldCharType="separate"/>
        </w:r>
        <w:r w:rsidR="00517669">
          <w:rPr>
            <w:webHidden/>
          </w:rPr>
          <w:t>71</w:t>
        </w:r>
        <w:r w:rsidR="00517669">
          <w:rPr>
            <w:webHidden/>
          </w:rPr>
          <w:fldChar w:fldCharType="end"/>
        </w:r>
      </w:hyperlink>
    </w:p>
    <w:p w14:paraId="43D747E1" w14:textId="3D9D4DF4"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4035840"/>
      <w:r>
        <w:rPr>
          <w:rFonts w:ascii="Times New Roman" w:hAnsi="Times New Roman"/>
          <w:b/>
          <w:sz w:val="24"/>
        </w:rPr>
        <w:t>ČÁST I:</w:t>
      </w:r>
      <w:bookmarkEnd w:id="0"/>
      <w:r>
        <w:rPr>
          <w:rFonts w:ascii="Times New Roman" w:hAnsi="Times New Roman"/>
          <w:b/>
          <w:sz w:val="24"/>
        </w:rPr>
        <w:t xml:space="preserve"> OBECNÉ POKYNY</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4035841"/>
      <w:r>
        <w:rPr>
          <w:rFonts w:ascii="Times New Roman" w:hAnsi="Times New Roman"/>
          <w:b/>
          <w:sz w:val="24"/>
        </w:rPr>
        <w:t>1.</w:t>
      </w:r>
      <w:r>
        <w:tab/>
      </w:r>
      <w:r>
        <w:rPr>
          <w:rFonts w:ascii="Times New Roman" w:hAnsi="Times New Roman"/>
          <w:b/>
          <w:sz w:val="24"/>
        </w:rPr>
        <w:t>Struktura a jiné konvence</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4035842"/>
      <w:bookmarkStart w:id="15" w:name="_Toc264038399"/>
      <w:bookmarkStart w:id="16" w:name="_Toc294018834"/>
      <w:r>
        <w:rPr>
          <w:rFonts w:ascii="Times New Roman" w:hAnsi="Times New Roman"/>
          <w:b/>
          <w:sz w:val="24"/>
        </w:rPr>
        <w:t>1.1</w:t>
      </w:r>
      <w:r>
        <w:tab/>
      </w:r>
      <w:bookmarkEnd w:id="11"/>
      <w:bookmarkEnd w:id="12"/>
      <w:bookmarkEnd w:id="13"/>
      <w:r>
        <w:rPr>
          <w:rFonts w:ascii="Times New Roman" w:hAnsi="Times New Roman"/>
          <w:b/>
          <w:sz w:val="24"/>
        </w:rPr>
        <w:t>Struktura</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Tato příloha obsahuje doplňující pokyny k šablonám (dále jen „LR“) uvedeným v příloze X tohoto nařízení.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Rámec se skládá z celkem pěti šablon:</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Výpočet pákového poměru (</w:t>
      </w:r>
      <w:proofErr w:type="spellStart"/>
      <w:r>
        <w:rPr>
          <w:sz w:val="24"/>
        </w:rPr>
        <w:t>LRCalc</w:t>
      </w:r>
      <w:proofErr w:type="spellEnd"/>
      <w:r>
        <w:rPr>
          <w:sz w:val="24"/>
        </w:rPr>
        <w:t>): Výpočet pákového poměru,</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Šablona pákového poměru 1 (LR1): Alternativní postup určení míry expozice,</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Šablona pákového poměru 4 (LR4): Alternativní členění složek míry expozice pákového poměru,</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Šablona pákového poměru 5 (LR5): Obecné informace,</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Volatilita pákového poměru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U každé šablony jsou uvedeny odkazy na právní předpisy a další podrobné informace o obecnějších aspektech podávání zpráv.</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4035843"/>
      <w:bookmarkEnd w:id="17"/>
      <w:r>
        <w:rPr>
          <w:rFonts w:ascii="Times New Roman" w:hAnsi="Times New Roman"/>
          <w:b/>
          <w:sz w:val="24"/>
        </w:rPr>
        <w:t>1.2</w:t>
      </w:r>
      <w:r>
        <w:tab/>
      </w:r>
      <w:r>
        <w:rPr>
          <w:rFonts w:ascii="Times New Roman" w:hAnsi="Times New Roman"/>
          <w:b/>
          <w:sz w:val="24"/>
        </w:rPr>
        <w:t>Konvence v oblasti číslování</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Při odkazování na sloupce, řádky a buňky šablon se dokument řídí konvencemi pro označování, které jsou stanoveny v následujících bodech. Uvedené číselné kódy se běžně používají v pravidlech pro ověřování.</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 xml:space="preserve">V pokynech se používá tento obecný zápis: </w:t>
      </w:r>
      <w:proofErr w:type="gramStart"/>
      <w:r>
        <w:rPr>
          <w:sz w:val="24"/>
        </w:rPr>
        <w:t xml:space="preserve">{ </w:t>
      </w:r>
      <w:proofErr w:type="spellStart"/>
      <w:r>
        <w:rPr>
          <w:sz w:val="24"/>
        </w:rPr>
        <w:t>šablona</w:t>
      </w:r>
      <w:proofErr w:type="gramEnd"/>
      <w:r>
        <w:rPr>
          <w:sz w:val="24"/>
        </w:rPr>
        <w:t>;řádek;sloupec</w:t>
      </w:r>
      <w:proofErr w:type="spellEnd"/>
      <w:r>
        <w:rPr>
          <w:sz w:val="24"/>
        </w:rPr>
        <w:t xml:space="preserve"> }. K odkazu na celý řádek nebo sloupec se použije hvězdička.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V případě validací v rámci šablony, kdy jsou použity pouze údaje z této šablony, se šablona v zápisu neuvádí: {</w:t>
      </w:r>
      <w:proofErr w:type="spellStart"/>
      <w:proofErr w:type="gramStart"/>
      <w:r>
        <w:rPr>
          <w:sz w:val="24"/>
        </w:rPr>
        <w:t>řádek;sloupec</w:t>
      </w:r>
      <w:proofErr w:type="spellEnd"/>
      <w:proofErr w:type="gramEnd"/>
      <w:r>
        <w:rPr>
          <w:sz w:val="24"/>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Pro účely vykazování informací o páce výraz „z toho“ odkazuje na položku, která je podmnožinou kategorie expozic vyšší úrovně, zatímco výraz „doplňková položka“ odkazuje na samostatnou položku, která není podmnožinou žádné kategorie expozic. Vykazování údajů v obou typech buněk je povinné, pokud není uvedeno jinak.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4035844"/>
      <w:r>
        <w:rPr>
          <w:rFonts w:ascii="Times New Roman" w:hAnsi="Times New Roman"/>
          <w:b/>
          <w:sz w:val="24"/>
        </w:rPr>
        <w:t>1.3</w:t>
      </w:r>
      <w:r>
        <w:tab/>
      </w:r>
      <w:r>
        <w:rPr>
          <w:rFonts w:ascii="Times New Roman" w:hAnsi="Times New Roman"/>
          <w:b/>
          <w:sz w:val="24"/>
        </w:rPr>
        <w:t>Zkratky</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tab/>
      </w:r>
      <w:r>
        <w:rPr>
          <w:sz w:val="24"/>
        </w:rPr>
        <w:t>Pro účely této přílohy a souvisejících šablon jsou použity tyto zkratky:</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tab/>
      </w:r>
      <w:r>
        <w:rPr>
          <w:sz w:val="24"/>
        </w:rPr>
        <w:t>SFT je zkratkou pro transakci s financováním cenných papírů („</w:t>
      </w:r>
      <w:proofErr w:type="spellStart"/>
      <w:r>
        <w:rPr>
          <w:sz w:val="24"/>
        </w:rPr>
        <w:t>Securities</w:t>
      </w:r>
      <w:proofErr w:type="spellEnd"/>
      <w:r>
        <w:rPr>
          <w:sz w:val="24"/>
        </w:rPr>
        <w:t xml:space="preserve"> </w:t>
      </w:r>
      <w:proofErr w:type="spellStart"/>
      <w:r>
        <w:rPr>
          <w:sz w:val="24"/>
        </w:rPr>
        <w:t>Financing</w:t>
      </w:r>
      <w:proofErr w:type="spellEnd"/>
      <w:r>
        <w:rPr>
          <w:sz w:val="24"/>
        </w:rPr>
        <w:t xml:space="preserve"> </w:t>
      </w:r>
      <w:proofErr w:type="spellStart"/>
      <w:r>
        <w:rPr>
          <w:sz w:val="24"/>
        </w:rPr>
        <w:t>Transaction</w:t>
      </w:r>
      <w:proofErr w:type="spellEnd"/>
      <w:r>
        <w:rPr>
          <w:sz w:val="24"/>
        </w:rPr>
        <w:t>“), kterou se rozumí „repo obchod, půjčka či výpůjčka cenných papírů nebo komodit nebo maržový obchod“, jak je uvedeno v čl. 4 odst. 1 bodu 139 nařízení (EU) č.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tab/>
      </w:r>
      <w:r>
        <w:rPr>
          <w:sz w:val="24"/>
        </w:rPr>
        <w:t>CRM je zkratkou pro snižování úvěrového rizika („</w:t>
      </w:r>
      <w:proofErr w:type="spellStart"/>
      <w:r>
        <w:rPr>
          <w:sz w:val="24"/>
        </w:rPr>
        <w:t>Credit</w:t>
      </w:r>
      <w:proofErr w:type="spellEnd"/>
      <w:r>
        <w:rPr>
          <w:sz w:val="24"/>
        </w:rPr>
        <w:t xml:space="preserve"> Risk </w:t>
      </w:r>
      <w:proofErr w:type="spellStart"/>
      <w:r>
        <w:rPr>
          <w:sz w:val="24"/>
        </w:rPr>
        <w:t>Mitigation</w:t>
      </w:r>
      <w:proofErr w:type="spellEnd"/>
      <w:r>
        <w:rPr>
          <w:sz w:val="24"/>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tab/>
      </w:r>
      <w:r>
        <w:rPr>
          <w:sz w:val="24"/>
        </w:rPr>
        <w:t>CSD je zkratkou pro centrální depozitář cenných papírů („</w:t>
      </w:r>
      <w:proofErr w:type="spellStart"/>
      <w:r>
        <w:rPr>
          <w:sz w:val="24"/>
        </w:rPr>
        <w:t>Central</w:t>
      </w:r>
      <w:proofErr w:type="spellEnd"/>
      <w:r>
        <w:rPr>
          <w:sz w:val="24"/>
        </w:rPr>
        <w:t xml:space="preserve"> </w:t>
      </w:r>
      <w:proofErr w:type="spellStart"/>
      <w:r>
        <w:rPr>
          <w:sz w:val="24"/>
        </w:rPr>
        <w:t>Securities</w:t>
      </w:r>
      <w:proofErr w:type="spellEnd"/>
      <w:r>
        <w:rPr>
          <w:sz w:val="24"/>
        </w:rPr>
        <w:t xml:space="preserve"> </w:t>
      </w:r>
      <w:proofErr w:type="spellStart"/>
      <w:r>
        <w:rPr>
          <w:sz w:val="24"/>
        </w:rPr>
        <w:t>Depository</w:t>
      </w:r>
      <w:proofErr w:type="spellEnd"/>
      <w:r>
        <w:rPr>
          <w:sz w:val="24"/>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tab/>
      </w:r>
      <w:r>
        <w:rPr>
          <w:sz w:val="24"/>
        </w:rPr>
        <w:t>QCCP je zkratkou pro způsobilou ústřední protistranu („</w:t>
      </w:r>
      <w:proofErr w:type="spellStart"/>
      <w:r>
        <w:rPr>
          <w:sz w:val="24"/>
        </w:rPr>
        <w:t>Qualifying</w:t>
      </w:r>
      <w:proofErr w:type="spellEnd"/>
      <w:r>
        <w:rPr>
          <w:sz w:val="24"/>
        </w:rPr>
        <w:t xml:space="preserve"> </w:t>
      </w:r>
      <w:proofErr w:type="spellStart"/>
      <w:r>
        <w:rPr>
          <w:sz w:val="24"/>
        </w:rPr>
        <w:t>Central</w:t>
      </w:r>
      <w:proofErr w:type="spellEnd"/>
      <w:r>
        <w:rPr>
          <w:sz w:val="24"/>
        </w:rPr>
        <w:t xml:space="preserve"> </w:t>
      </w:r>
      <w:proofErr w:type="spellStart"/>
      <w:r>
        <w:rPr>
          <w:sz w:val="24"/>
        </w:rPr>
        <w:t>Counterparty</w:t>
      </w:r>
      <w:proofErr w:type="spellEnd"/>
      <w:r>
        <w:rPr>
          <w:sz w:val="24"/>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tab/>
      </w:r>
      <w:r>
        <w:rPr>
          <w:sz w:val="24"/>
        </w:rPr>
        <w:t>PFE je zkratkou pro potenciální budoucí expozici („</w:t>
      </w:r>
      <w:proofErr w:type="spellStart"/>
      <w:r>
        <w:rPr>
          <w:sz w:val="24"/>
        </w:rPr>
        <w:t>Potential</w:t>
      </w:r>
      <w:proofErr w:type="spellEnd"/>
      <w:r>
        <w:rPr>
          <w:sz w:val="24"/>
        </w:rPr>
        <w:t xml:space="preserve"> </w:t>
      </w:r>
      <w:proofErr w:type="spellStart"/>
      <w:r>
        <w:rPr>
          <w:sz w:val="24"/>
        </w:rPr>
        <w:t>Future</w:t>
      </w:r>
      <w:proofErr w:type="spellEnd"/>
      <w:r>
        <w:rPr>
          <w:sz w:val="24"/>
        </w:rPr>
        <w:t xml:space="preserve"> </w:t>
      </w:r>
      <w:proofErr w:type="spellStart"/>
      <w:r>
        <w:rPr>
          <w:sz w:val="24"/>
        </w:rPr>
        <w:t>Exposure</w:t>
      </w:r>
      <w:proofErr w:type="spellEnd"/>
      <w:r>
        <w:rPr>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4035845"/>
      <w:r>
        <w:rPr>
          <w:rFonts w:ascii="Times New Roman" w:hAnsi="Times New Roman"/>
          <w:b/>
          <w:sz w:val="24"/>
        </w:rPr>
        <w:t>1.4</w:t>
      </w:r>
      <w:r>
        <w:tab/>
      </w:r>
      <w:r>
        <w:rPr>
          <w:rFonts w:ascii="Times New Roman" w:hAnsi="Times New Roman"/>
          <w:b/>
          <w:sz w:val="24"/>
        </w:rPr>
        <w:t>Konvence v oblasti znamének</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Všechny částky se vykazují jako kladná čísla.</w:t>
      </w:r>
      <w:bookmarkStart w:id="32" w:name="_Toc264033192"/>
      <w:bookmarkEnd w:id="32"/>
      <w:r>
        <w:rPr>
          <w:sz w:val="24"/>
        </w:rPr>
        <w:t xml:space="preserve"> S výjimkou:</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položek, před jejichž označením je uvedeno záporné znaménko (–), přičemž se předpokládá, že u této položky nebude uvedeno žádné kladné číslo;</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buněk {LRCalc;0310;0010}, {LRCalc;0320;0010}, {LRCalc;0330;0010}, {LRCalc;0340;0010}, které mohou mít v extrémních případech zápornou hodnotu, jinak mají kladné hodnoty;</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4035846"/>
      <w:r>
        <w:rPr>
          <w:rFonts w:ascii="Times New Roman" w:hAnsi="Times New Roman"/>
          <w:b/>
          <w:sz w:val="24"/>
        </w:rPr>
        <w:lastRenderedPageBreak/>
        <w:t>ČÁST II: POKYNY PRO VYPLNĚNÍ ŠABLONY</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4035847"/>
      <w:bookmarkStart w:id="40" w:name="_Toc322533849"/>
      <w:r>
        <w:rPr>
          <w:rFonts w:ascii="Times New Roman" w:hAnsi="Times New Roman"/>
          <w:b/>
          <w:sz w:val="24"/>
        </w:rPr>
        <w:t>1.</w:t>
      </w:r>
      <w:r>
        <w:tab/>
      </w:r>
      <w:r>
        <w:rPr>
          <w:rFonts w:ascii="Times New Roman" w:hAnsi="Times New Roman"/>
          <w:b/>
          <w:sz w:val="24"/>
        </w:rPr>
        <w:t>Vzorce pro výpočet pákového poměru</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Pákový poměr vychází z hodnoty kapitálu a z celkové míry expozice, které lze vypočítat pomocí buněk ze šablony </w:t>
      </w:r>
      <w:proofErr w:type="spellStart"/>
      <w:r>
        <w:rPr>
          <w:rFonts w:ascii="Times New Roman" w:hAnsi="Times New Roman"/>
          <w:sz w:val="24"/>
        </w:rPr>
        <w:t>LRCalc</w:t>
      </w:r>
      <w:proofErr w:type="spellEnd"/>
      <w:r>
        <w:rPr>
          <w:rFonts w:ascii="Times New Roman" w:hAnsi="Times New Roman"/>
          <w:sz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Pákový poměr – plně zavedená definice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Pákový poměr – přechodná definice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4035848"/>
      <w:bookmarkStart w:id="44" w:name="_Toc322533852"/>
      <w:bookmarkEnd w:id="40"/>
      <w:r>
        <w:rPr>
          <w:rFonts w:ascii="Times New Roman" w:hAnsi="Times New Roman"/>
          <w:b/>
          <w:sz w:val="24"/>
        </w:rPr>
        <w:t>2.</w:t>
      </w:r>
      <w:r>
        <w:tab/>
      </w:r>
      <w:r>
        <w:rPr>
          <w:rFonts w:ascii="Times New Roman" w:hAnsi="Times New Roman"/>
          <w:b/>
          <w:sz w:val="24"/>
        </w:rPr>
        <w:t>Hranice významnosti pro deriváty</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S cílem snížit zátěž související s vykazováním pro instituce s omezenými expozicemi v derivátech se při posuzování významnosti derivátových expozic ve vztahu k celkové expozici pákového poměru užívají následující míry. Instituce tyto míry vypočítají takto</w:t>
      </w:r>
      <w:bookmarkStart w:id="45" w:name="_Toc322533853"/>
      <w:bookmarkEnd w:id="44"/>
      <w:r>
        <w:rPr>
          <w:rFonts w:ascii="Times New Roman" w:hAnsi="Times New Roman"/>
          <w:sz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 xml:space="preserve">Podíl derivátů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Kde míra derivátové expozice je rovna: {LRCalc;0061;</w:t>
      </w:r>
      <w:proofErr w:type="gramStart"/>
      <w:r>
        <w:rPr>
          <w:rFonts w:ascii="Times New Roman" w:hAnsi="Times New Roman"/>
          <w:sz w:val="24"/>
        </w:rPr>
        <w:t>0010}+</w:t>
      </w:r>
      <w:proofErr w:type="gramEnd"/>
      <w:r>
        <w:rPr>
          <w:rFonts w:ascii="Times New Roman" w:hAnsi="Times New Roman"/>
          <w:sz w:val="24"/>
        </w:rPr>
        <w:t>{LRCalc;0065;0010}+{LRCalc;0071;0010}+{LRCalc;0081;0010}+{LRCalc;0091;0010}+{LRCalc;0092;0010}+{LRCalc;0093;0010}+{LRCalc;0101;0010}+{LRCalc;0102;0010}+{LRCalc;0103;0010}+{LRCalc;0104;0010}+{LRCalc;0110;0010}+{LRCalc;0120;0010}+{LRCalc;0130;0010}+{LRCalc;0140;0010}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Kde celková míra expozice je rovna: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Celková pomyslná hodnota, k níž deriváty odkazují = {LR1; 0010;0070}. Tuto buňku instituce vyplňují vždy.</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Objem úvěrových derivátů = {LR1;0020;0070 + LR1;0050;0070}. Tyto buňky instituce vyplňují vždy.</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Instituce mají povinnost vyplnit buňky uvedené v bodě 13, je-li splněna jedna z následujících podmínek:</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podíl derivátů uvedený v bodě 5 přesahuje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podíl derivátů uvedený v bodě 5 přesahuje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Použijí se kritéria pro zahájení a ukončení vykazování podle článku 4 tohoto nařízení s výjimkou písmene b), kdy instituce zahájí vykazování informací od referenčního data následujícího sledovaného období, pokud příslušnou prahovou hodnotu překročily k referenčnímu datu jednoho sledovaného období.</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11.</w:t>
      </w:r>
      <w:r>
        <w:tab/>
      </w:r>
      <w:r>
        <w:rPr>
          <w:rFonts w:ascii="Times New Roman" w:hAnsi="Times New Roman"/>
          <w:sz w:val="24"/>
        </w:rPr>
        <w:t>Instituce, u nichž celková pomyslná hodnota, k níž deriváty odkazují, dle definice v bodě 8 přesahuje 10 miliard EUR, musí vyplnit buňky uvedené v bodě 13 i v případě, že podíl derivátů nesplňuje podmínky uvedené v bodě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lastRenderedPageBreak/>
        <w:tab/>
      </w:r>
      <w:r>
        <w:rPr>
          <w:sz w:val="24"/>
        </w:rPr>
        <w:t>Kritéria pro zahájení vykazování stanovená v článku 4 tohoto nařízení se nepoužijí.</w:t>
      </w:r>
      <w:r>
        <w:rPr>
          <w:rFonts w:ascii="Times New Roman" w:hAnsi="Times New Roman"/>
          <w:sz w:val="24"/>
        </w:rPr>
        <w:t xml:space="preserve"> Instituce zahájí vykazování informací počínaje referenčním datem následujícího sledovaného období, pokud příslušnou prahovou hodnotu překročily k referenčnímu datu jednoho sledovaného období.</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Instituce mají povinnost vyplnit buňky uvedené v bodě 14, je-li splněna jedna z následujících podmínek:</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objem úvěrových derivátů uvedený v bodě 9 přesahuje 300 milionů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objem úvěrových derivátů uvedený v bodě 9 přesahuje 500 milionů EUR.</w:t>
      </w:r>
    </w:p>
    <w:p w14:paraId="3B88084F" w14:textId="34241752" w:rsidR="00F4754B" w:rsidRPr="000B66BC" w:rsidRDefault="00242493" w:rsidP="000B66BC">
      <w:pPr>
        <w:pStyle w:val="InstructionsText2"/>
        <w:numPr>
          <w:ilvl w:val="0"/>
          <w:numId w:val="0"/>
        </w:numPr>
        <w:ind w:left="709" w:firstLine="11"/>
        <w:rPr>
          <w:sz w:val="24"/>
        </w:rPr>
      </w:pPr>
      <w:r>
        <w:rPr>
          <w:sz w:val="24"/>
        </w:rPr>
        <w:t>Použijí se kritéria pro zahájení a ukončení vykazování podle článku 4 tohoto nařízení s výjimkou písmene b), kdy instituce zahájí vykazování informací od referenčního data následujícího sledovaného období, pokud příslušnou prahovou hodnotu překročily k referenčnímu datu jednoho sledovaného období.</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V souladu s body 10 a 11 vyplňují instituce tyto buňky: {LR1;0010;0010}, {LR1;0010;0020}, {LR1;0020;0010}, {LR1;0020;0020}, {LR1;0030;0070}, {LR1;0040;0070}, {LR1;0050;0010}, {LR1;0050;0020}, {LR1;0060;0010}, {LR1;0060;0020}, a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V souladu s bodem 12 vyplňují instituce tyto buňky: {LR1;0020;0075}, {LR1;0050;0075} a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4035849"/>
      <w:bookmarkStart w:id="51" w:name="_Toc322687879"/>
      <w:bookmarkStart w:id="52" w:name="_Toc315961853"/>
      <w:bookmarkEnd w:id="46"/>
      <w:r>
        <w:rPr>
          <w:rFonts w:ascii="Times New Roman" w:hAnsi="Times New Roman"/>
          <w:b/>
          <w:sz w:val="24"/>
        </w:rPr>
        <w:t>3.</w:t>
      </w:r>
      <w:r>
        <w:tab/>
      </w:r>
      <w:r>
        <w:rPr>
          <w:rFonts w:ascii="Times New Roman" w:hAnsi="Times New Roman"/>
          <w:b/>
          <w:sz w:val="24"/>
        </w:rPr>
        <w:t>C 47.00 – Výpočet pákového poměru</w:t>
      </w:r>
      <w:bookmarkEnd w:id="47"/>
      <w:bookmarkEnd w:id="48"/>
      <w:r>
        <w:t xml:space="preserve"> </w:t>
      </w:r>
      <w:r>
        <w:rPr>
          <w:rFonts w:ascii="Times New Roman" w:hAnsi="Times New Roman"/>
          <w:b/>
          <w:sz w:val="24"/>
        </w:rPr>
        <w:t>(</w:t>
      </w:r>
      <w:proofErr w:type="spellStart"/>
      <w:r>
        <w:rPr>
          <w:rFonts w:ascii="Times New Roman" w:hAnsi="Times New Roman"/>
          <w:b/>
          <w:sz w:val="24"/>
        </w:rPr>
        <w:t>LRCalc</w:t>
      </w:r>
      <w:proofErr w:type="spellEnd"/>
      <w:r>
        <w:rPr>
          <w:rFonts w:ascii="Times New Roman" w:hAnsi="Times New Roman"/>
          <w:b/>
          <w:sz w:val="24"/>
        </w:rPr>
        <w:t>)</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V této šabloně jsou sdruženy údaje potřebné pro výpočet pákového poměru, jak je definován v části sedmé nařízení (EU) č.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Instituce vykazují pákový poměr čtvrtletně. V každém čtvrtletí se hodnotou „k referenčnímu datu sledovaného období“ rozumí hodnota k poslednímu kalendářnímu dni třetího měsíce příslušného čtvrtletí.</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Instituce vykazují položky v oddíle týkajícím se hodnot expozic s kladným znaménkem v souladu s konvencí v oblasti znamének v části I bodě 9 této přílohy (s výjimkou buněk {LRCalc;0270;0010} a {LRCalc;0280;0010}), jako kdyby položky se záporným znaménkem (například vynětí/odpočty) podle konvence v oblasti znamének v části I bodě 9 této přílohy neplatily.</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Jakákoli částka, která zvyšuje kapitál nebo expozici pákového poměru, se vykazuje jako kladné číslo. Naopak jakákoli částka, která celkový kapitál nebo expozici pákového poměru snižuje, se vykazuje jako číslo záporné. Je-li před označením položky uvedeno záporné znaménko (–), předpokládá se, že u této položky nebude uvedeno žádné kladné číslo.</w:t>
      </w:r>
    </w:p>
    <w:p w14:paraId="69E62B50" w14:textId="0E030492" w:rsidR="00EC3422" w:rsidRPr="000B66BC" w:rsidRDefault="006A4991" w:rsidP="009339D1">
      <w:pPr>
        <w:pStyle w:val="InstructionsText2"/>
        <w:numPr>
          <w:ilvl w:val="0"/>
          <w:numId w:val="0"/>
        </w:numPr>
        <w:ind w:left="720" w:hanging="360"/>
        <w:rPr>
          <w:sz w:val="24"/>
        </w:rPr>
      </w:pPr>
      <w:r>
        <w:rPr>
          <w:sz w:val="24"/>
        </w:rPr>
        <w:t>19. Pokud by určitá částka mohla splňovat podmínky pro odpočet z více důvodů, odečte se tato částka od expozice pouze v jednom z řádků šablony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Odkazy na právní předpisy a pokyny</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lastRenderedPageBreak/>
              <w:t>Řádek a sloupec</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Hodnoty expozice</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Transakce SFT: hodnota expozice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Ustanovení čl. 429b odst. 1 písm. b) a odstavců 4 a 5 nařízení (EU) č.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Expozice transakcí SFT vypočtená podle čl. 429b odst. 1 písm. b) a odst. 4 a 5 nařízení (EU) č.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Při vyplňování této buňky instituce zohlední transakce podle čl. 429e odst. 7 písm. c) nařízení (EU) č.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Instituce do této buňky nezahrnou obdržené peněžní prostředky nebo jakékoli zajištění poskytnuté protistraně prostřednictvím výše uvedených transakcí, které je ponecháno v rozvaze (tj. nejsou splněna účetní kritéria pro odúčtování). Takové položky instituce uvedou v buňce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nařízení (EU) č.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Transakce SFT: navýšení pro úvěrové riziko protistrany</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Ustanovení čl. 429e odst. 1 nařízení (EU) č.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Navýšení pro úvěrové riziko protistrany u transakcí SFT včetně podrozvahových, stanovené v souladu s čl. 429e odst. 2 nebo případně 3 a odst. 4 nařízení (EU) č. 575/2013.</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Při vyplňování této buňky instituce zohlední transakce podle čl. 429e odst. 7 písm. c) nařízení (EU) č.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nařízení (EU) č. 575/2013. Takové položky instituce uvedou v buňce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Odchylka pro transakce SFT: navýšení podle čl. 429e odst. 5 a článku 222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Ustanovení čl. 429e odst. 5 a článku 222 nařízení (EU) č.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Hodnota expozice transakcí SFT včetně podrozvahových, vypočítaná v souladu s článkem 222 nařízení (EU) č. 575/2013 za podmínky uplatnění příslušné rizikové váhy se spodní hranicí 20 %.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Při vyplňování této buňky instituce zohlední transakce podle čl. 429e odst. 7 písm. c) nařízení (EU) č.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Instituce v této buňce nezohlední transakce, u kterých je část hodnoty expozice pákového poměru připadající na navýšení stanovena metodou podle čl. 429e odst. 1 nařízení (EU) č.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{0040;0010}</w:t>
            </w:r>
          </w:p>
        </w:tc>
        <w:tc>
          <w:tcPr>
            <w:tcW w:w="7566" w:type="dxa"/>
          </w:tcPr>
          <w:p w14:paraId="2565C50A" w14:textId="603E35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Úvěrové riziko protistrany u transakcí SFT, v nichž instituce </w:t>
            </w:r>
            <w:r w:rsidR="008D178D">
              <w:rPr>
                <w:rFonts w:ascii="Times New Roman" w:hAnsi="Times New Roman"/>
                <w:b/>
                <w:sz w:val="24"/>
              </w:rPr>
              <w:t>jedná</w:t>
            </w:r>
            <w:r>
              <w:rPr>
                <w:rFonts w:ascii="Times New Roman" w:hAnsi="Times New Roman"/>
                <w:b/>
                <w:sz w:val="24"/>
              </w:rPr>
              <w:t xml:space="preserve"> jako zmocněnec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Ustanovení čl. 429e odst. 7 písm. a) a odstavců 2 a 3 nařízení (EU) č.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Hodnota expozice transakcí SFT, v nichž instituce vystupuje jako zmocněnec a poskytuje zákazníkovi nebo protistraně zabezpečení či záruku, které jsou omezeny na rozdíl mezi hodnotou cenných papírů nebo hotovosti, jež zapůjčil zákazník, a hodnotou kolaterálu, který poskytl dlužník, v souladu s čl. 429e odst. 7 písm. a) nařízení (EU) č. 575/2013, sestává pouze z navýšení určeného v souladu s čl. 429e odst. 2, případně 3 nařízení (EU) č. 575/2013.</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Při vyplňování této buňky instituce nezohlední transakce podle čl. 429e odst. 7 písm. c). Takové položky instituce uvedou v buňkách {0010;0010} a {0020;0010} nebo {0010;0010} a {0030;0010}.</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Vyňaté expozice vůči ústřední protistraně u transakcí SFT na účet klienta</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a čl. 306 odst. 1 písm. c) nařízení (EU) č.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Vyňaté obchodní expozice vůči ústřední protistraně u transakcí SFT na účet klienta za předpokladu, že tyto položky splňují podmínky stanovené v čl. 306 odst. 1 písm. c) nařízení (EU) č.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Je-li vyňatou expozicí vůči ústřední protistraně cenný papír, v této buňce se nezohlední, ledaže se jedná o opětovně zastavený cenný papír, který je podle použitelného účetního rámce (tj. v souladu s čl. 111 odst. 1 první větou nařízení (EU) č. 575/2013) zohledňován v plné výši.</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Instituce zahrnou částku uvedenou v této buňce také do buněk {0010;0010}, {0020;0010} a {0030;0010}, jako kdyby vynětí neplatilo, a jedná-li se o opětovně zastavený cenný papír, který je podle použitelného účetního rámce zohledňován v plné výši, dodatečně do buňky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Složila-li instituce pro vyňatou část transakce SFT, která se vykazuje v buňce {0190;0010}, a nikoli v buňce {0020;0010} ani v buňce {0030;0010}, počáteční marži, může ji instituce vykázat v této buňce.</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Deriváty: příspěvek reprodukčních nákladů podle SA-CCR (bez dopadu kolaterálu na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1 nařízení (EU) č.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Reprodukční náklady podle článku 275 nařízení (EU) č. 575/2013 bez dopadu kolaterálu na NICA a bez dopadu případné variační marže. Pro účely této buňky nepoužijí instituce odchylky podle čl. 429c odst. 3 a 4 a čl. 429a odst. 1 písm. g) nařízení (EU) č. 575/2013. Vykazuje se částka při použití koeficientu alfa 1,4, jak je uvedeno v čl. 274 odst. 2 nařízení (EU) č.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Jak stanoví čl. 429c odst. 1 nařízení (EU) č. 575/2013, instituce mohou zohlednit dopady smluv o novaci a jiných dohod o započtení v souladu s článkem 295 nařízení (EU) č. 575/2013. Křížové započtení se neuplatňuje. Instituce však mohou provádět započtení v rámci kategorie produktů uvedené v čl. 272 bodě 25 písm. c) nařízení (EU) č. 575/2013a u úvěrových derivátů, pokud se na ně vztahují dohody o křížovém započtení uvedené v čl. 295 písm. c) nařízení (EU) č.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Instituce zahrnou všechny úvěrové deriváty, nikoli jen úvěrové deriváty zařazené do obchodního portfolia.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Instituce v této buňce nezohlední smlouvy oceňované pomocí zjednodušeného standardizovaného přístupu nebo metody původní expozice.</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Dopad uznání kolaterálu na NICA u transakcí na účet klienta, jejichž clearing provádí způsobilá ústřední protistrana (SA-CCR – reprodukční náklady)</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4 a 4a nařízení (EU) č.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Uplatnění odchylky podle čl. 429c odst. 4 nařízení (EU) č. 575/2013 ve spojení s čl. 429c odst. 4a při výpočtu reprodukčních nákladů u derivátových smluv s klienty, pokud clearing těchto smluv provádí způsobilá ústřední protistrana. Vykazuje se částka při použití koeficientu alfa 1,4, jak je uvedeno v čl. 274 odst. 2 nařízení (EU) č.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Instituce zahrnou částku uvedenou v této buňce rovněž do buňky {0061;0010}, jako kdyby odchylka neplatila.</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Dopad způsobilé obdržené hotovostní variační marže započtené proti tržní hodnotě derivátů (SA-CCR – reprodukční náklady)</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3 nařízení (EU) č.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Variační marže obdržená v hotovosti od protistrany, kterou je možné započíst proti části derivátové expozice, jež se týká reprodukčních nákladů, v souladu s čl. 429c odst. 3 nařízení (EU) č. 575/2013. Vykazuje se částka při použití koeficientu alfa 1,4, jak je uvedeno v čl. 274 odst. 2 nařízení (EU) č.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Hotovostní variační marže obdržená na vyňatou část expozice související s ústřední protistranou podle čl. 429a odst. 1 písm. g) nařízení (EU) č. 575/2013 se nevykazuje.</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{0061;0010}, jako kdyby se odpočet hotovostní variační marže neuplatnil.</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Dopad vyňatých obchodních expozic vůči ústřední protistraně u transakcí na účet klienta (SA-CCR – reprodukční náklady)</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Podíl reprodukčních nákladů u vyňatých obchodních expozic vůči způsobilé ústřední protistraně, jež plynou z derivátových transakcí na účet klienta, za předpokladu, že tyto položky splňují podmínky stanovené v čl. 306 odst. 1 písm. c) nařízení (EU) č. 575/2013. Tato částka se vykazuje včetně hotovostní variační marže obdržené na tuto složku transakce. Vykazuje se částka při použití koeficientu alfa 1,4, jak je uvedeno v čl. 274 odst. 2 nařízení (EU) č.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{0061;0010}, jako kdyby vynětí neplatilo.</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Deriváty: příspěvek potenciální budoucí expozice podle SA-CCR (multiplikátor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5 nařízení (EU) č.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Potenciální budoucí expozice podle článku 278 nařízení (EU) č. 575/2013 za předpokladu, že se použije multiplikátor ve výši 1, tj. bez uplatnění odchylky týkající se smluv s klienty, pokud clearing těchto smluv provádí způsobilá ústřední protistrana podle čl. 429c odst. 5 nařízení (EU) č. 575/2013. Vykazuje se částka při použití koeficientu alfa 1,4, jak je uvedeno v čl. 274 odst. 2 nařízení (EU) č.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Dopad nižšího multiplikátoru u transakcí na účet klienta, jejichž clearing provádí způsobilá ústřední protistrana, na příspěvek potenciální budoucí expozice (SA-CCR – potenciální budoucí expozice)</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5 nařízení (EU) č.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 xml:space="preserve">Uplatnění odchylky podle čl. 429c odst. 5 nařízení (EU) č. 575/2013 při výpočtu potenciální budoucí expozice u derivátových smluv s klienty, pokud clearing těchto smluv provádí způsobilá ústřední protistrana. Vykazuje se </w:t>
            </w:r>
            <w:r>
              <w:rPr>
                <w:rFonts w:ascii="Times New Roman" w:hAnsi="Times New Roman"/>
                <w:sz w:val="24"/>
              </w:rPr>
              <w:lastRenderedPageBreak/>
              <w:t>částka při použití koeficientu alfa 1,4, jak je uvedeno v čl. 274 odst. 2 nařízení (EU) č.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{0091;0010}, jako kdyby odchylka neplatila.</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lastRenderedPageBreak/>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Dopad vyňatých obchodních expozic vůči ústřední protistraně u transakcí na účet klienta (přístup podle SA-CCR – potenciální budoucí expozice)</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Potenciální budoucí expozice vyňatých obchodních expozic vůči způsobilé ústřední protistraně, jež plynou z derivátových transakcí na účet klienta, za předpokladu, že tyto položky splňují podmínky stanovené v čl. 306 odst. 1 písm. c) nařízení (EU) č. 575/2013. Vykazuje se částka při použití koeficientu alfa 1,4, jak je uvedeno v čl. 274 odst. 2 nařízení (EU) č.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{0091;0010}, jako kdyby vynětí neplatilo.</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Odchylka pro deriváty: příspěvek reprodukčních nákladů na základě zjednodušeného standardizovaného přístupu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6 a článku 281 nařízení (EU) č.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V této buňce se uvádí míra expozice smluv uvedených v příloze II bodech 1 a 2 nařízení (EU) č. 575/2013 vypočtená podle zjednodušeného standardizovaného přístupu uvedeného v článku 281 nařízení (EU) č. 575/2013. Vykazuje se částka při použití koeficientu alfa 1,4, jak je uvedeno v čl. 274 odst. 2 nařízení (EU) č.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Instituce, které používají zjednodušený standardizovaný přístup, nesnižují v souladu s čl. 429c odst. 6 nařízení (EU) č. 575/2013 celkovou míru expozice o přijatou marži. Nepoužije se tudíž výjimka pro derivátové smlouvy s klienty, pokud clearing těchto smluv provádí způsobilá ústřední protistrana, podle čl. 429c odst. 4 nařízení (EU) č. 575/2013.</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V této buňce nezohledňují instituce smlouvy oceňované pomocí SA-CRR nebo metody původní expozice.</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Dopad vyňatých obchodních expozic vůči ústřední protistraně u transakcí na účet klienta (zjednodušený standardizovaný přístup – reprodukční náklady)</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Podíl reprodukčních nákladů u vyňatých obchodních expozic vůči způsobilé ústřední protistraně, jež plynou z derivátových transakcí na účet klienta, za předpokladu, že tyto položky splňují podmínky stanovené v čl. 306 odst. 1 písm. c) nařízení (EU) č. 575/2013. Tato částka se vykazuje včetně </w:t>
            </w:r>
            <w:r>
              <w:rPr>
                <w:rFonts w:ascii="Times New Roman" w:hAnsi="Times New Roman"/>
                <w:sz w:val="24"/>
              </w:rPr>
              <w:lastRenderedPageBreak/>
              <w:t>hotovostní variační marže obdržené na tuto složku transakce. Vykazuje se částka při použití koeficientu alfa 1,4, jak je uvedeno v čl. 274 odst. 2 nařízení (EU) č.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{0101;0010}, jako kdyby vynětí neplatilo.</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Odchylka pro deriváty: příspěvek potenciální budoucí expozice podle zjednodušeného standardizovaného přístupu (multiplikátor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Ustanovení čl.  281 odst. 2 písm. f) a čl. 429c odst. 6 nařízení (EU) č. 575/2013. Potenciální budoucí expozice v souladu se zjednodušeným standardizovaným přístupem stanoveným v článku 281 nařízení (EU) č. 575/2013za předpokladu, že se použije multiplikátor ve výši 1. Vykazuje se částka při použití koeficientu alfa 1,4, jak je uvedeno v čl. 274 odst. 2 nařízení (EU) č.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Instituce, které zjednodušený standardizovaný přístup používají, nesnižují v souladu s čl. 429c odst. 6 nařízení (EU) č. 575/2013 míru celkové expozice o přijatou marži.</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Dopad vyňatých obchodních expozic vůči ústřední protistraně u transakcí na účet klienta (zjednodušený standardizovaný přístup – potenciální budoucí expozice)</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Potenciální budoucí expozice vyňatých obchodních expozic vůči způsobilé ústřední protistraně, jež plynou z derivátových transakcí na účet klienta, za předpokladu, že tyto položky splňují podmínky stanovené v čl. 306 odst. 1 písm. c) nařízení (EU) č. 575/2013. Vykazuje se částka při použití koeficientu alfa 1,4, jak je uvedeno v čl. 274 odst. 2 nařízení (EU) č.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Instituce zahrnou částku uvedenou v této buňce rovněž do buňky {0103;0010}, jako kdyby vynětí neplatilo.</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Odchylka pro deriváty: metoda původní expozice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6 a článku 282 nařízení (EU) č.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 této buňce se uvádí míra expozice smluv uvedených v příloze II bodech 1 a 2 nařízení (EU) č. 575/2013 vypočtená podle metody původní expozice uvedené v článku 282 nařízení (EU) č.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Instituce, které metodu původní expozice používají, nesnižují v souladu s čl. 429c odst. 6 nařízení (EU) č. 575/2013 míru expozice o přijatou marži.</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Instituce, které metodu původní expozice nepoužívají, tuto buňku nevyplňují.</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lastRenderedPageBreak/>
              <w:t>Instituce v této buňce nezohlední smlouvy oceňované pomocí SA-CCR nebo zjednodušeného standardizovaného přístupu.</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Vyňaté obchodní expozice vůči ústřední protistraně u transakcí na účet klienta (metoda původní expozice)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Vyňaté obchodní expozice vůči ústřední protistraně u transakcí na účet klienta při použití metody původní expozice uvedené v článku 282 nařízení (EU) č. 575/2013, za předpokladu, že tyto položky splňují podmínky stanovené v čl. 306 odst. 1 písm. c) nařízení (EU) č.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Instituce zahrnou částku uvedenou v této buňce rovněž do buňky {0110;0010}, jako kdyby vynětí neplatilo.</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Limitovaná pomyslná hodnota prodaných úvěrových derivátů</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Článek 429d nařízení (EU) č.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Instituce stanoví limitovanou pomyslnou hodnotu prodaných úvěrových derivátů definovaných v čl. 429d odst. 1 v souladu s článkem 429d nařízení (EU) č.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Způsobilé zakoupené úvěrové deriváty započtené proti prodaným úvěrovým derivátům</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Článek 429d nařízení (EU) č.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Limitovaná pomyslná hodnota zakoupených úvěrových derivátů (tj. kupuje-li instituce od protistrany zajištění úvěrového rizika) se stejným referenčním jménem jako prodané úvěrové deriváty dané instituce, jestliže zbývající doba splatnosti zakoupeného zajištění je nejméně rovna zbývající době splatnosti prodaného zajištění. Tato hodnota tedy nemůže být vyšší než hodnota uvedená pro jednotlivá referenční jména v buňce {0130;0010}.</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Podrozvahové položky s úvěrovým konverzním faktorem 10 % v souladu s článkem 429f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Hodnota expozice v souladu s článkem 429f, čl. 111 odst. 2 písm. e) a čl. 111 odst. 3 nařízení (EU) č.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nařízení (EU) č.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Pozn.: nominální hodnota se nesnižuje o specifické úpravy o úvěrové riziko před použitím úvěrového konverzního faktoru</w:t>
            </w:r>
            <w:r>
              <w:rPr>
                <w:sz w:val="24"/>
              </w:rPr>
              <w:t xml:space="preserve">. </w:t>
            </w:r>
            <w:r>
              <w:rPr>
                <w:rFonts w:ascii="Times New Roman" w:hAnsi="Times New Roman"/>
                <w:sz w:val="24"/>
              </w:rPr>
              <w:t>Podle čl. 429f odst. 2 mohou instituce místo toho snížit částku ekvivalentní úvěrové expozici podrozvahové položky o odpovídající částku specifických úprav o úvěrové riziko. Na tento výpočet se vztahuje minimální nulová hodnota.</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Pokud se některý příslib vztahuje k prodloužení jiné podrozvahové položky, použije se v souladu s čl. 111 odst. 3 nařízení (EU) č. 575/2013 nižší z obou konverzních faktorů (spojený s položkou, k níž je příslib poskytnut, nebo s druhem poskytnutého příslibu).</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V souladu s článkem 429f nařízení (EU) č. 575/2013 instituce v této buňce nezohlední smlouvy uvedené na seznamu v příloze II nařízení (EU) č. 575/2013, úvěrové deriváty, transakce SFT a pozice uvedené v článku 429d.</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 xml:space="preserve">Na bezpodmínečně odvolatelné přísliby instituce použijí </w:t>
            </w:r>
            <w:r>
              <w:rPr>
                <w:rFonts w:ascii="Times New Roman" w:hAnsi="Times New Roman"/>
                <w:color w:val="auto"/>
                <w:sz w:val="24"/>
              </w:rPr>
              <w:t>v souladu s čl. 429f odst. 3</w:t>
            </w:r>
            <w:r>
              <w:rPr>
                <w:rFonts w:ascii="Times New Roman" w:hAnsi="Times New Roman"/>
                <w:sz w:val="24"/>
              </w:rPr>
              <w:t xml:space="preserve"> úvěrový konverzní faktor 10 %.</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Podrozvahové položky s úvěrovým konverzním faktorem 20 % v souladu s článkem 429f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Hodnota expozice v souladu s článkem 429f, čl. 111 odst. 2 písm. d) a čl. 111 odst. 3 nařízení (EU) č.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Nařízení (EU) č. 575/2013 Pozn.: nominální hodnota se nesnižuje o specifické úpravy o úvěrové riziko před použitím úvěrového konverzního faktoru. Podle čl. 429f odst. 2 mohou instituce místo toho snížit částku ekvivalentní úvěrové expozici podrozvahové položky o odpovídající částku specifických úprav o úvěrové riziko. Na tento výpočet se vztahuje minimální nulová hodnota.</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Pokud se některý příslib vztahuje k prodloužení jiné podrozvahové položky, použije se v souladu s čl. 111 odst. 3 nařízení (EU) č. 575/2013 nižší z obou konverzních faktorů (spojený s položkou, k níž je příslib poskytnut, nebo s druhem poskytnutého příslibu).</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V souladu s článkem 429f nařízení (EU) č. 575/2013 instituce v této buňce nezohlední smlouvy uvedené na seznamu v příloze II nařízení (EU) č. 575/2013, úvěrové deriváty, transakce SFT a pozice uvedené v článku 429d.</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Podrozvahové položky s úvěrovým konverzním faktorem 40 % v souladu s článkem 429f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Hodnota expozice v souladu s článkem 429f, čl. 111 odst. 2 písm. c) a čl. 111 odst. 3 nařízení (EU) č.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Pozn.: nominální hodnota se nesnižuje o specifické úpravy o úvěrové riziko před použitím úvěrového konverzního faktoru. Podle čl. 429f odst. 2 mohou instituce místo toho snížit částku ekvivalentní úvěrové expozici podrozvahové položky o odpovídající částku specifických úprav o úvěrové riziko. Na tento výpočet se vztahuje minimální nulová hodnota.</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lastRenderedPageBreak/>
              <w:t>Pokud se některý příslib vztahuje k prodloužení jiné podrozvahové položky, použije se v souladu s čl. 111 odst. 3 nařízení (EU) č. 575/2013 nižší z obou konverzních faktorů (spojený s položkou, k níž je příslib poskytnut, nebo s druhem poskytnutého příslibu).</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V souladu s článkem 429f nařízení (EU) č. 575/2013 instituce v této buňce nezohlední smlouvy uvedené na seznamu v příloze II nařízení (EU) č. 575/2013, úvěrové deriváty, transakce SFT a pozice uvedené v článku 429d.</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Podrozvahové položky s úvěrovým konverzním faktorem 50 % v souladu s článkem 429f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Hodnota expozice v souladu s článkem 429f, čl. 111 odst. 2 písm. b) a čl. 111 odst. 3 nařízení (EU) č.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Nařízení (EU) č. 575/2013 Pozn.: nominální hodnota se nesnižuje o specifické úpravy o úvěrové riziko před použitím úvěrového konverzního </w:t>
            </w:r>
            <w:proofErr w:type="spellStart"/>
            <w:proofErr w:type="gramStart"/>
            <w:r>
              <w:rPr>
                <w:rFonts w:ascii="Times New Roman" w:hAnsi="Times New Roman"/>
                <w:sz w:val="24"/>
              </w:rPr>
              <w:t>faktoru.Podle</w:t>
            </w:r>
            <w:proofErr w:type="spellEnd"/>
            <w:proofErr w:type="gramEnd"/>
            <w:r>
              <w:rPr>
                <w:rFonts w:ascii="Times New Roman" w:hAnsi="Times New Roman"/>
                <w:sz w:val="24"/>
              </w:rPr>
              <w:t> čl. 429f odst. 2 mohou instituce místo toho snížit částku ekvivalentní úvěrové expozici podrozvahové položky o odpovídající částku specifických úprav o úvěrové riziko. Na tento výpočet se vztahuje minimální nulová hodnota.</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Tato buňka zahrnuje likviditní přísliby a jiné přísliby související se sekuritizací. Úvěrový konverzní faktor pro všechny likviditní přísliby činí v souladu s článkem 255 nařízení (EU) č. 575/2013 50 % bez ohledu na jejich splatnost.</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Pokud se některý příslib vztahuje k prodloužení jiné podrozvahové položky, použije se v souladu s čl. 111 odst. 3 nařízení (EU) č. 575/2013 nižší z obou konverzních faktorů (spojený s položkou, k níž je příslib poskytnut, nebo s druhem poskytnutého příslibu).</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V souladu s článkem 429f nařízení (EU) č. 575/2013 instituce v této buňce nezohlední smlouvy uvedené na seznamu v příloze II nařízení (EU) č. 575/2013, úvěrové deriváty, transakce SFT a pozice uvedené v článku 429d.</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Podrozvahové položky s úvěrovým konverzním faktorem 100 % v souladu s článkem 429f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Hodnota expozice v souladu s článkem 429f, čl. 111 odst. 2 písm. a) a čl. 111 odst. 3 nařízení (EU) č.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Nařízení (EU) č. 575/2013 Pozn.: nominální hodnota se nesnižuje o specifické úpravy o úvěrové riziko před použitím úvěrového konverzního faktoru. Podle čl. 429f odst. 2 mohou instituce místo toho snížit částku ekvivalentní úvěrové expozici podrozvahové položky o odpovídající částku </w:t>
            </w:r>
            <w:r>
              <w:rPr>
                <w:rFonts w:ascii="Times New Roman" w:hAnsi="Times New Roman"/>
                <w:sz w:val="24"/>
              </w:rPr>
              <w:lastRenderedPageBreak/>
              <w:t>specifických úprav o úvěrové riziko. Na tento výpočet se vztahuje minimální nulová hodnota.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Tato buňka zahrnuje likviditní přísliby a jiné přísliby související se sekuritizací.</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Pokud se některý příslib vztahuje k prodloužení jiné podrozvahové položky, použije se v souladu s čl. 111 odst. 3 nařízení (EU) č. 575/2013 nižší z obou konverzních faktorů (spojený s položkou, k níž je příslib poskytnut, nebo s druhem poskytnutého příslibu).</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V souladu s článkem 429f nařízení (EU) č. 575/2013 instituce v této buňce nezohlední smlouvy uvedené v příloze II nařízení (EU) č. 575/2013, úvěrové deriváty, transakce SFT a pozice uvedené v článku 429d.</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Obecné úpravy o úvěrové riziko u podrozvahových položek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 odst. 4 nařízení (EU) č.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Příslušný objem obecných úprav o úvěrové riziko u podrozvahových položek podle čl. 429 odst. 4 písm. d), který instituce odečtou v souladu s čl. 429 odst. 4 posledním pododstavcem nařízení (EU) č.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Vykázaný objem se nezohlední jako odpočet ve výpočtu podrozvahových položek uvedených v řádcích {0150;0010} až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Nákupy a prodeje s obvyklým termínem dodání čekající na vypořádání: účetní hodnota v rámci účtování k datu obchodu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Ustanovení čl. 429g odst. 1 nařízení (EU) č.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Součet:</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hotovosti související s nákupy s obvyklým termínem dodání, které zůstávají v rozvaze do dne vypořádání jako aktiva podle čl. 429 odst. 4 písm. a)</w:t>
            </w:r>
            <w:r>
              <w:rPr>
                <w:rFonts w:ascii="Times New Roman" w:hAnsi="Times New Roman"/>
                <w:sz w:val="24"/>
              </w:rPr>
              <w:t xml:space="preserve"> </w:t>
            </w:r>
            <w:r>
              <w:rPr>
                <w:rFonts w:ascii="Times New Roman" w:hAnsi="Times New Roman"/>
                <w:color w:val="auto"/>
                <w:sz w:val="24"/>
              </w:rPr>
              <w:t>nařízení (EU) č. 575/2013</w:t>
            </w:r>
            <w:r>
              <w:rPr>
                <w:rFonts w:ascii="Times New Roman" w:hAnsi="Times New Roman"/>
                <w:sz w:val="24"/>
              </w:rPr>
              <w:t>,</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hotovostních pohledávek souvisejících s prodeji s obvyklým termínem dodání, které zůstávají v rozvaze do dne vypořádání jako aktiva podle čl. 429 odst. 4 písm. a)</w:t>
            </w:r>
            <w:r>
              <w:rPr>
                <w:rFonts w:ascii="Times New Roman" w:hAnsi="Times New Roman"/>
                <w:sz w:val="24"/>
              </w:rPr>
              <w:t xml:space="preserve"> </w:t>
            </w:r>
            <w:r>
              <w:rPr>
                <w:rFonts w:ascii="Times New Roman" w:hAnsi="Times New Roman"/>
                <w:color w:val="auto"/>
                <w:sz w:val="24"/>
              </w:rPr>
              <w:t>nařízení (EU) č. 575/2013</w:t>
            </w:r>
            <w:r>
              <w:rPr>
                <w:rFonts w:ascii="Times New Roman" w:hAnsi="Times New Roman"/>
                <w:sz w:val="24"/>
              </w:rPr>
              <w:t>.</w:t>
            </w:r>
            <w:r>
              <w:rPr>
                <w:rFonts w:ascii="Times New Roman" w:hAnsi="Times New Roman"/>
                <w:color w:val="auto"/>
                <w:sz w:val="24"/>
              </w:rPr>
              <w:t xml:space="preserve"> Jedná se o částku po účinku vzájemných kompenzací mezi hotovostními pohledávkami z prodejů s obvyklým termínem dodání čekajících na vypořádání a hotovostními závazky z nákupů s obvyklým termínem dodání čekajících na vypořádání, jak je povoleno podle použitelného účetního rámce.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Instituce, které uplatňují účtování k datu obchodu, vykazují výše uvedenou sumu v této buňce namísto řádku 0190 „Ostatní aktiva“, přičemž cenné </w:t>
            </w:r>
            <w:r>
              <w:rPr>
                <w:rFonts w:ascii="Times New Roman" w:hAnsi="Times New Roman"/>
                <w:color w:val="auto"/>
                <w:sz w:val="24"/>
              </w:rPr>
              <w:lastRenderedPageBreak/>
              <w:t>papíry související s nákupy s obvyklým termínem dodání vykazují v řádku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Prodeje s obvyklým termínem dodání čekající na vypořádání: reverze účetních kompenzací v rámci účtování k datu obchodu</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Ustanovení čl. 429g odst. 2 nařízení (EU) č.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Objem kompenzace mezi hotovostními pohledávkami z prodejů s obvyklým termínem dodání čekajících na vypořádání a hotovostními závazky z nákupů s obvyklým termínem dodání čekajících na vypořádání, jak je povoleno podle použitelného účetního rámce.</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Prodeje s obvyklým termínem dodání čekající na vypořádání: kompenzace podle čl. 429 g odst. 2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429g odst. 2 nařízení (EU) č.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Objem kompenzace mezi hotovostními pohledávkami a hotovostními závazky v případech, kdy jsou příslušné prodeje i nákupy s obvyklým termínem dodání vypořádány na základě dodání proti zaplacení podle čl. 429g odst. 2 nařízení (EU) č.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Nákupy s obvyklým termínem dodání čekající na vypořádání: plné uznání příslibů k úhradě v rámci účtování k datu vypořádání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Ustanovení čl. 429g odst. 3 nařízení (EU) č.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Úplná nominální hodnota příslibů k úhradě týkajících se nákupů s obvyklým termínem dodání v případě institucí, které v souladu s použitelným účetním rámcem uplatňují na nákupy a prodeje s obvyklým termínem dodání účtování k datu vypořádání.</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Cenné papíry související s prodeji s obvyklým termínem dodání se vykazují v řádku 0190 „Ostatní aktiva“.</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Nákupy s obvyklým termínem dodání čekající na vypořádání: kompenzace příslibů k úhradě v rámci účtování k datu vypořádání podle čl. 429g odst. 3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Ustanovení čl. 429g odst. 3 nařízení (EU) č.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Část hodnoty vykázané v řádku 0188, jež je kompenzována úplnou nominální hodnotou hotovostních pohledávek týkajících se prodejů s obvyklým termínem dodání čekajících na vypořádání podle čl. 429g odst. 3 nařízení (EU) č.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lastRenderedPageBreak/>
              <w:t xml:space="preserve">Jiná aktiva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Ustanovení čl. 429 odst. 4 písm. a) nařízení (EU) č.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Všechna ostatní aktiva kromě derivátových smluv uvedených v příloze II nařízení (EU) č. 575/2013, úvěrových derivátů a transakcí SFT (mezi ostatní aktiva vykazovaná v této buňce </w:t>
            </w:r>
            <w:proofErr w:type="gramStart"/>
            <w:r>
              <w:rPr>
                <w:rFonts w:ascii="Times New Roman" w:hAnsi="Times New Roman"/>
                <w:sz w:val="24"/>
              </w:rPr>
              <w:t>patří</w:t>
            </w:r>
            <w:proofErr w:type="gramEnd"/>
            <w:r>
              <w:rPr>
                <w:rFonts w:ascii="Times New Roman" w:hAnsi="Times New Roman"/>
                <w:sz w:val="24"/>
              </w:rPr>
              <w:t xml:space="preserve"> např. pohledávky z poskytnuté hotovostní variační marže, jestliže jsou dle platného účetního rámce uznány, likvidní aktiva podle definice pro účely ukazatele krytí likvidity, neúspěšné a nevypořádané transakce). Instituce provádějí oceňování podle zásad uvedených v čl. 429b odst. 1 a čl. 429 odst. 7 nařízení (EU) č.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Instituce do této buňky zahrnou obdržené peněžní prostředky nebo jakékoli zajištění poskytnuté protistraně prostřednictvím transakcí SFT, které je ponecháno v rozvaze (tj. nejsou splněna účetní kritéria pro odúčtování). Kromě toho zde instituce uznají položky, které se odečítají od kmenového kapitálu tier 1 a vedlejšího kapitálu tier 1 (např. nehmotná aktiva, odložené daňové pohledávky atd.).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Hodnota vykázaná v řádku {0191;0010} se ve výpočtu tohoto řádku nezohlední jako odpočet.</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 xml:space="preserve">Dohody o sdružování finančních prostředků (cash </w:t>
            </w:r>
            <w:proofErr w:type="spellStart"/>
            <w:r>
              <w:rPr>
                <w:rFonts w:ascii="Times New Roman" w:hAnsi="Times New Roman"/>
                <w:sz w:val="24"/>
              </w:rPr>
              <w:t>pooling</w:t>
            </w:r>
            <w:proofErr w:type="spellEnd"/>
            <w:r>
              <w:rPr>
                <w:rFonts w:ascii="Times New Roman" w:hAnsi="Times New Roman"/>
                <w:sz w:val="24"/>
              </w:rPr>
              <w:t>) se vykazují v řádcích {0193;0010}, {0194;0010}, {0195;0010}, {0196;0010}, {0197;0010} a {0198;0010}, a nikoli zde.</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Obecné úpravy o úvěrové riziko u rozvahových položek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 odst. 4 nařízení (EU) č.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Příslušný objem obecných úprav o úvěrové riziko u rozvahových položek podle čl. 429 odst. 4 písm. a) nařízení (EU) č. 575/2013, který instituce odečtou v souladu s čl. 429 odst. 4 posledním pododstavcem nařízení (EU) č.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Vykázaný objem se nezohlední jako odpočet ve výpočtu ostatních aktiv uvedených v řádku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nemohou být započteny z obezřetnostního hlediska: hodnota v účetním rámci</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429b odst. 2 a 3 nařízení (EU) č.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Účetní hodnota dohod o sdružování finančních prostředků (cash </w:t>
            </w:r>
            <w:proofErr w:type="spellStart"/>
            <w:r>
              <w:rPr>
                <w:rFonts w:ascii="Times New Roman" w:hAnsi="Times New Roman"/>
                <w:sz w:val="24"/>
              </w:rPr>
              <w:t>pooling</w:t>
            </w:r>
            <w:proofErr w:type="spellEnd"/>
            <w:r>
              <w:rPr>
                <w:rFonts w:ascii="Times New Roman" w:hAnsi="Times New Roman"/>
                <w:sz w:val="24"/>
              </w:rPr>
              <w:t>), tj. dohod, v jejichž rámci dochází ke sdružení kreditních nebo debetních zůstatků několika jednotlivých účtů za účelem správy hotovosti nebo řízení likvidity, jež nemohou být započteny podle čl. 429b odst. 2 a 3 nařízení (EU) č.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nemohou být započteny z obezřetnostního hlediska: dopad zpětného navýšení započtení uplatněného v účetním rámci</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 odst. 7 písm. b) a čl. 429 b odst. 2 a 3 nařízení (EU) č.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Částka započtená podle použitelného účetního rámce u dohod o sdružování peněžních prostředků (cash </w:t>
            </w:r>
            <w:proofErr w:type="spellStart"/>
            <w:r>
              <w:rPr>
                <w:rFonts w:ascii="Times New Roman" w:hAnsi="Times New Roman"/>
                <w:color w:val="auto"/>
                <w:sz w:val="24"/>
              </w:rPr>
              <w:t>pooling</w:t>
            </w:r>
            <w:proofErr w:type="spellEnd"/>
            <w:r>
              <w:rPr>
                <w:rFonts w:ascii="Times New Roman" w:hAnsi="Times New Roman"/>
                <w:color w:val="auto"/>
                <w:sz w:val="24"/>
              </w:rPr>
              <w:t>), které nemohou být započteny z obezřetnostního hlediska, vykázaných v buňce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mohou být započteny z obezřetnostního hlediska: hodnota v účetním rámci</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429b odst. 2 a 3 nařízení (EU) č.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Účetní hodnota dohod o sdružování finančních prostředků (cash </w:t>
            </w:r>
            <w:proofErr w:type="spellStart"/>
            <w:r>
              <w:rPr>
                <w:rFonts w:ascii="Times New Roman" w:hAnsi="Times New Roman"/>
                <w:sz w:val="24"/>
              </w:rPr>
              <w:t>pooling</w:t>
            </w:r>
            <w:proofErr w:type="spellEnd"/>
            <w:r>
              <w:rPr>
                <w:rFonts w:ascii="Times New Roman" w:hAnsi="Times New Roman"/>
                <w:sz w:val="24"/>
              </w:rPr>
              <w:t>), tj. dohod, v jejichž rámci dochází ke sdružení kreditních nebo debetních zůstatků několika jednotlivých účtů za účelem správy hotovosti nebo řízení likvidity, jež mohou být započteny podle čl. 429b odst. 2 a 3 nařízení (EU) č.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mohou být započteny z obezřetnostního hlediska: dopad zpětného navýšení započtení uplatněného v účetním rámci</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429b odst. 2 a 3 nařízení (EU) č.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 xml:space="preserve">Částka započtená podle použitelného účetního rámce u dohod o sdružování peněžních prostředků (cash </w:t>
            </w:r>
            <w:proofErr w:type="spellStart"/>
            <w:r>
              <w:rPr>
                <w:rFonts w:ascii="Times New Roman" w:hAnsi="Times New Roman"/>
                <w:color w:val="auto"/>
                <w:sz w:val="24"/>
              </w:rPr>
              <w:t>pooling</w:t>
            </w:r>
            <w:proofErr w:type="spellEnd"/>
            <w:r>
              <w:rPr>
                <w:rFonts w:ascii="Times New Roman" w:hAnsi="Times New Roman"/>
                <w:color w:val="auto"/>
                <w:sz w:val="24"/>
              </w:rPr>
              <w:t>), které mohou být započteny z obezřetnostního hlediska, vykázaných v buňce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Pokud instituce splňuje ustanovení čl. 429b odst. 2 písm. b), neuplatní v tomto řádku zpětné navýšení na zůstatky zaniklé na základě procesu stanoveného v čl. 429b odst. 2 písm.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mohou být započteny z obezřetnostního hlediska: uznání započtení podle čl. 429b odst. 2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Ustanovení čl. 429b odst. 2 nařízení (EU) č.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Započtená částka z hrubé expozice související s dohodami o sdružování finančních prostředků (cash </w:t>
            </w:r>
            <w:proofErr w:type="spellStart"/>
            <w:r>
              <w:rPr>
                <w:rFonts w:ascii="Times New Roman" w:hAnsi="Times New Roman"/>
                <w:color w:val="auto"/>
                <w:sz w:val="24"/>
              </w:rPr>
              <w:t>pooling</w:t>
            </w:r>
            <w:proofErr w:type="spellEnd"/>
            <w:r>
              <w:rPr>
                <w:rFonts w:ascii="Times New Roman" w:hAnsi="Times New Roman"/>
                <w:color w:val="auto"/>
                <w:sz w:val="24"/>
              </w:rPr>
              <w:t>) (součet hodnot uvedených v řádcích 0195 a 0196) podle čl. 429b odst.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Dohody o sdružování finančních prostředků (cash </w:t>
            </w:r>
            <w:proofErr w:type="spellStart"/>
            <w:r>
              <w:rPr>
                <w:rFonts w:ascii="Times New Roman" w:hAnsi="Times New Roman"/>
                <w:b/>
                <w:color w:val="auto"/>
                <w:sz w:val="24"/>
              </w:rPr>
              <w:t>pooling</w:t>
            </w:r>
            <w:proofErr w:type="spellEnd"/>
            <w:r>
              <w:rPr>
                <w:rFonts w:ascii="Times New Roman" w:hAnsi="Times New Roman"/>
                <w:b/>
                <w:color w:val="auto"/>
                <w:sz w:val="24"/>
              </w:rPr>
              <w:t>), které mohou být započteny z obezřetnostního hlediska: uznání započtení podle čl. 429b odst. 3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 xml:space="preserve">Ustanovení čl. 429b odst. 3 nařízení (EU) č. 575/2013 </w:t>
            </w:r>
            <w:r>
              <w:rPr>
                <w:rFonts w:ascii="Times New Roman" w:hAnsi="Times New Roman"/>
                <w:color w:val="auto"/>
                <w:sz w:val="24"/>
              </w:rPr>
              <w:t xml:space="preserve">Započtená částka z hrubé expozice související s dohodami o sdružování finančních prostředků (cash </w:t>
            </w:r>
            <w:proofErr w:type="spellStart"/>
            <w:r>
              <w:rPr>
                <w:rFonts w:ascii="Times New Roman" w:hAnsi="Times New Roman"/>
                <w:color w:val="auto"/>
                <w:sz w:val="24"/>
              </w:rPr>
              <w:t>pooling</w:t>
            </w:r>
            <w:proofErr w:type="spellEnd"/>
            <w:r>
              <w:rPr>
                <w:rFonts w:ascii="Times New Roman" w:hAnsi="Times New Roman"/>
                <w:color w:val="auto"/>
                <w:sz w:val="24"/>
              </w:rPr>
              <w:t>) (součet hodnot uvedených v řádcích 0195 a 0196) podle čl. 429b odst.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Navýšení o poskytnutý kolaterál k derivátům</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2 nařízení (EU) č.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Objem poskytnutého kolaterálu k derivátům, pokud se podle použitelného účetního rámce jeho poskytnutím snižuje objem aktiv, jak stanoví čl. 429c odst. 2 nařízení (EU) č.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Instituce v této buňce nezohlední počáteční marži u derivátových transakcí na účet klienta se způsobilou ústřední protistranou, ani způsobilou hotovostní variační marži podle vymezení v čl. 429c odst. 3 nařízení (EU) č.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Pohledávky z hotovostní variační marže poskytnuté v derivátových transakcích</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Ustanovení čl. 429c odst. 3 písm. c) nařízení (EU) č.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Pohledávky, jež plynou z variační marže uhrazené v hotovosti protistraně v derivátových transakcích, je-li instituce podle použitelného účetního rámce povinna uznat tyto pohledávky jako aktivum, za předpokladu splnění podmínek v čl. 429c odst. 3 písm. a) až e) nařízení (EU) č. 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Zde uvedená částka se rovněž zahrne do ostatních aktiv vykázaných v buňce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Vyňaté obchodní expozice vůči ústřední protistraně u transakcí na účet klienta (počáteční marže)</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g) nařízení (EU) č.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Část počáteční (složené) marže vyňatých obchodních expozic vůči způsobilé ústřední protistraně, jež plynou z derivátových transakcí na účet klienta, za předpokladu, že tyto položky splňují podmínky stanovené v čl. 306 odst. 1 písm. c) nařízení (EU) č.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Zde uvedená částka se rovněž zahrne do ostatních aktiv vykázaných v buňce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Úpravy o účetní operace související s prodejem v případě transakcí SFT</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429e odst. 6 nařízení (EU) č.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Hodnota cenných papírů zapůjčených v rámci repo obchodu, které jsou podle použitelného účetního rámce odúčtovány vzhledem k účetní operaci související s prodejem.</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Snížení hodnoty expozice úvěru předběžného financování nebo překlenovacího úvěru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Ustanovení čl. 429 odst. 8 nařízení (EU) č.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Částka odečtená od hodnoty expozice úvěru předběžného financování nebo překlenovacího úvěru podle čl. 429 odst. 8 nařízení (EU) č.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Zde uvedená částka se zahrne do ostatních aktiv vykázaných v buňce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Aktiva ve svěřenecké správě</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i) nařízení (EU) č.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Hodnota aktiv ve svěřenecké správě, která jsou uznána v rozvaze instituce podle vnitrostátních všeobecně přijímaných účetních zásad, splňují kritéria pro nezaúčtování podle IFRS 9, a případně kritéria pro vynětí z konsolidace podle IFRS 10, v souladu s čl. 429a odst. 1 písm. i) nařízení (EU) č. 575/2013 bez zohlednění účinků účetního započtení nebo jiného CRM (tj. provede se reverze účinků účetního započtení nebo CRM, které se projevily v účetní hodnotě).</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Zde uvedená částka se rovněž zahrne do ostatních aktiv vykázaných v buňce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Expozice uvnitř skupiny (na individuálním základě) vyňaté v souladu s čl. 429a odst. 1 písm. c)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c) a čl. 113 odst. 6 nařízení (EU) č.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Expozice, které nejsou konsolidovány na použitelné úrovni konsolidace a na které lze uplatnit zacházení podle čl. 113 odst. 6 nařízení (EU) č. 575/2013, jestliže jsou splněny všechny podmínky čl. 113 odst. 6 písm. a) až e) nařízení (EU) č. 575/2013a příslušné orgány udělily souhlas.</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Zde uvedená částka se rovněž zahrne do příslušných buněk výše, jako kdyby vynětí neplatilo.</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Vyňaté expozice v rámci institucionálního systému ochrany podle čl. 429a odst. 1 písm. c)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c) a čl. 113 odst. 7 nařízení (EU) č.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Expozice, na které lze uplatnit zacházení podle čl. 113 odst. 7 nařízení (EU) č. 575/2013, jestliže jsou splněny všechny podmínky čl. 113 odst. 7 písm. a) až i) nařízení (EU) č. 575/2013 a příslušné orgány udělily souhlas.</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Zde uvedená částka se rovněž zahrne do příslušných buněk výše, jako kdyby vynětí neplatilo.</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lastRenderedPageBreak/>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Vyňaté expozice v rámci institucionálního systému ochrany podle čl. 429a odst. 1 písm. ca) nařízení (EU) č.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Ustanovení čl. 429a odst. 1 písm. ca), čl. 113 odst. 7, článku 114 nařízení (EU) č. 575/2013 Expozice, na které lze uplatnit zacházení podle čl. 113 odst. 7 a článku 114 nařízení (EU) č. 575/2013, jestliže jsou splněny všechny podmínky čl. 429a odst. 1 písm. ca) nařízení (EU) č. 575/2013. </w:t>
            </w:r>
          </w:p>
          <w:p w14:paraId="679257E0" w14:textId="1D0F3ECC" w:rsidR="0093277B" w:rsidRPr="000B66BC" w:rsidRDefault="00B96F9D" w:rsidP="00D31203">
            <w:pPr>
              <w:pStyle w:val="BodyText1"/>
              <w:spacing w:after="240" w:line="240" w:lineRule="auto"/>
            </w:pPr>
            <w:r>
              <w:rPr>
                <w:rFonts w:ascii="Times New Roman" w:hAnsi="Times New Roman"/>
                <w:sz w:val="24"/>
              </w:rPr>
              <w:t>Zde uvedená částka se rovněž zahrne do příslušných buněk výše, jako kdyby vynětí neplatilo.</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Vyloučené zaručené části expozic vyplývajících z vývozních úvěrů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f) nařízení (EU) č.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Zaručené části expozic vyplývajících z vývozních úvěrů, které lze vyloučit, jestliže jsou splněny podmínky čl. 429a odst. 1 písm. f) nařízení (EU) č. 575/2013.</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Vyloučený přebytečný kolaterál uložený u trojstranných zmocněnců</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k) nařízení (EU) č.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Přebytečný kolaterál uložený u trojstranných zmocněnců, který nebyl zapůjčen a který lze vyloučit podle čl. 429a odst. 1 písm.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Vyloučené sekuritizované expozice představující převod významného rizika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m) nařízení (EU) č.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Sekuritizované expozice z tradičních sekuritizací, které splňují podmínky týkající se převodu významného rizika stanovené v čl. 244 odst.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Expozice vůči centrální bance vyňaté podle čl. 429a odst. 1 písm. n)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n) nařízení (EU) č.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Zde uvedená částka se rovněž zahrne do příslušných buněk výše, jako kdyby vynětí neplatilo.</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sz w:val="24"/>
              </w:rPr>
              <w:t>(–) Vyloučené bankovní doplňkové služby centrálních depozitářů cenných papírů/institucí podle čl. 429a odst. 1 písm. o) nařízení (EU) č.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o) nařízení (EU) č.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bankovní doplňkové služby určených institucí podle čl. 429a odst. 1 písm. p)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429a odst. 1 písm. p) nařízení (EU) č.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Expozice vyňaté v souladu s čl. 429a odst. 1 písm. j)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j) nařízení (EU) č.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Expozice vyňaté podle čl. 429a odst. 1 písm. j) nařízení (EU) č. 575/2013</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Zde uvedená částka se rovněž zahrne do příslušných buněk výše, jako kdyby vynětí neplatilo.</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Vyloučené expozice veřejných rozvojových úvěrových institucí – investice veřejného sektoru</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d) a odst. 2 nařízení (EU) č.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Expozice vyplývající z aktiv představujících pohledávky vůči ústředním vládám, regionálním vládám, místním orgánům nebo subjektům veřejného sektoru týkající se investic veřejného sektoru, jež lze vyloučit podle čl. 429a odst. 1 písm. d) nařízení (EU) č.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Jestliže se pohledávka považuje rovněž za podpůrný úvěr podle čl. 429a odst. 3, nevykazuje se v této buňce, nýbrž v řádcích 0262–0264 podle příslušných případů.</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veřejných rozvojových úvěrových institucí – podpůrné úvěry poskytnuté veřejnou rozvojovou úvěrovou institucí</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d) a odstavců 2 a 3 nařízení (EU) č.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Expozice vyplývající z podpůrných úvěrů, včetně postoupení podpůrných úvěrů, poskytnutých veřejnou rozvojovou úvěrovou institucí, jež lze vyloučit podle čl. 429a odst. 1 písm. d) nařízení (EU) č. 575/2013.</w:t>
            </w:r>
            <w:r>
              <w:rPr>
                <w:rFonts w:ascii="Times New Roman" w:hAnsi="Times New Roman"/>
                <w:color w:val="auto"/>
                <w:sz w:val="24"/>
              </w:rPr>
              <w:t xml:space="preserve"> </w:t>
            </w:r>
            <w:r>
              <w:rPr>
                <w:rFonts w:ascii="Times New Roman" w:hAnsi="Times New Roman"/>
                <w:sz w:val="24"/>
              </w:rPr>
              <w:t>Zohlední se rovněž expozice útvaru instituce, k němuž příslušný orgán přistupuje jako k veřejné rozvojové úvěrové instituci podle čl. 429a odst. 2 posledního pododstavce nařízení (EU) č. 575/2013.</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veřejných rozvojových úvěrových institucí – podpůrné úvěry poskytnuté subjektem přímo zřízeným ústřední vládou, regionální vládou nebo místním orgánem členského státu</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d) a odstavců 2 a 3 nařízení (EU) č.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Expozice vyplývající z podpůrných úvěrů, včetně postoupení podpůrných úvěrů, poskytnutých subjektem přímo zřízeným ústřední vládou, regionální vládou nebo místním orgánem členského státu, jež lze vyloučit podle čl. 429a odst. 1 písm. d). Zohlední se rovněž expozice útvaru instituce, k němuž příslušný orgán přistupuje jako k veřejné rozvojové úvěrové instituci podle čl. 429a odst. 2 posledního pododstavce.</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veřejných rozvojových úvěrových institucí – podpůrné úvěry poskytnuté subjektem zřízeným ústřední vládou, regionální vládou nebo místním orgánem členského státu prostřednictvím zprostředkující úvěrové instituce</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d) a odstavců 2 a 3 nařízení (EU) č.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Expozice vyplývající z podpůrných úvěrů, včetně postoupení podpůrných úvěrů, poskytnutých subjektem zřízeným ústřední vládou, regionální vládou nebo místním orgánem členského státu prostřednictvím zprostředkující úvěrové instituce, jež lze vyloučit podle čl. 429a odst. 1 písm. d). Zohlední se rovněž expozice útvaru instituce, k němuž příslušný orgán přistupuje jako k veřejné rozvojové úvěrové instituci podle čl. 429a odst. 2 posledního pododstavce.</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Vyňaté expozice vůči akcionářům podle čl. 429a odst. 1 písm.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da) nařízení (EU) č.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Expozice instituce vůči akcionářům, kteří jsou úvěrovými institucemi, jsou-li zajištěny kolaterálem a splňují všechny podmínky uvedené v písmeni da).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vyplývající z postoupení podpůrných úvěrů neveřejnými rozvojovými úvěrovými institucemi (nebo útvary) – podpůrné úvěry poskytnuté veřejnou rozvojovou úvěrovou institucí</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e) a odstavců 2 a 3 nařízení (EU) č.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Části expozic vyplývající z postoupení podpůrných úvěrů jiným úvěrovým institucím, pokud podpůrné úvěry poskytla veřejná rozvojová úvěrová instituce. </w:t>
            </w:r>
            <w:r>
              <w:rPr>
                <w:rFonts w:ascii="Times New Roman" w:hAnsi="Times New Roman"/>
                <w:sz w:val="24"/>
              </w:rPr>
              <w:t>Zohlední se rovněž části expozic útvarů instituce, k nimž příslušný orgán nepřistupuje jako k veřejné rozvojové úvěrové instituci podle čl. 429a odst. 2 posledního pododstavce.</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vyplývající z postoupení podpůrných úvěrů neveřejnými rozvojovými úvěrovými institucemi (nebo útvary) – podpůrné úvěry poskytnuté subjektem přímo zřízeným ústřední vládou, regionální vládou nebo místním orgánem členského státu</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e) a odstavců 2 a 3 nařízení (EU) č.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Části expozic vyplývající z postoupení podpůrných úvěrů jiným úvěrovým institucím, pokud podpůrné úvěry poskytl subjekt přímo zřízený ústřední vládou, regionální vládou nebo místním orgánem členského státu. </w:t>
            </w:r>
            <w:r>
              <w:rPr>
                <w:rFonts w:ascii="Times New Roman" w:hAnsi="Times New Roman"/>
                <w:sz w:val="24"/>
              </w:rPr>
              <w:t>Zohlední se rovněž části expozic útvarů instituce, k nimž příslušný orgán nepřistupuje jako k veřejné rozvojové úvěrové instituci podle čl. 429a odst. 2 posledního pododstavce.</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Vyloučené expozice vyplývající z postoupení podpůrných úvěrů neveřejnými rozvojovými úvěrovými institucemi (nebo útvary) – podpůrné úvěry poskytnuté subjektem zřízeným ústřední vládou, regionální vládou nebo místním orgánem členského státu prostřednictvím zprostředkující úvěrové instituce</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Ustanovení čl. 429a odst. 1 písm. e) a odstavců 2 a 3 nařízení (EU) č.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 xml:space="preserve">Části expozic vyplývající z postoupení podpůrných úvěrů jiným úvěrovým institucím, pokud podpůrné úvěry poskytl subjekt zřízený ústřední vládou, regionální vládou nebo místním orgánem členského státu prostřednictvím zprostředkující úvěrové instituce. </w:t>
            </w:r>
            <w:r>
              <w:rPr>
                <w:rFonts w:ascii="Times New Roman" w:hAnsi="Times New Roman"/>
                <w:sz w:val="24"/>
              </w:rPr>
              <w:t>Zohlední se rovněž části expozic útvarů instituce, k nimž příslušný orgán nepřistupuje jako k veřejné rozvojové úvěrové instituci podle čl. 429a odst. 2 posledního pododstavce.</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Zde uvedená částka se rovněž zahrne do příslušných buněk výše, jako kdyby vynětí neplatilo.</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Expozice odečtené v souladu s čl. 429a odst. 1 písm. q)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Ustanovení čl. 429a odst. 1 písm. q)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Expozice, na něž se vztahuje zacházení uvedené v prvním pododstavci čl. 72e odst. 5 nařízení (EU) č.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Zde uvedená částka se rovněž zahrne do příslušných buněk výše, jako kdyby vynětí neplatilo.</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Dodatečný objem expozice pákového poměru v souladu s článkem 3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Článek 3 nařízení (EU) č.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Vykáže se hodnota dodatečné rizikové expozice. Zahrnou se pouze dodatečné hodnoty.</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Odečtená hodnota aktiv – kapitál tier 1 – plně zavedená definice</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Ustanovení čl.  429a odst. 1 písm. b) a čl. 499 odst. 1 písm. a) nařízení (EU) č.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Zahrnuje veškeré úpravy, které se týkají hodnoty aktiva a jsou vyžadovány těmito ustanoveními:</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články 32 až 35 nařízení (EU) č. 575/2013 nebo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články 36 až 47 nařízení (EU) č. 575/2013 nebo</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články 56 až 60 nařízení (EU) č.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podle příslušných případů.</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zohlední vynětí, alternativní postupy a výjimky z těchto odpočtů stanovené v článcích 48, 49 a 79 nařízení (EU) č. 575/2013, aniž by zohlednily odchylky uvedené v části desáté hlavě I kapitolách 1, 2 a 4 nařízení (EU) č. 575/2013. Aby nedocházelo </w:t>
            </w:r>
            <w:proofErr w:type="gramStart"/>
            <w:r>
              <w:rPr>
                <w:rFonts w:ascii="Times New Roman" w:hAnsi="Times New Roman"/>
                <w:sz w:val="24"/>
              </w:rPr>
              <w:t>k</w:t>
            </w:r>
            <w:proofErr w:type="gramEnd"/>
            <w:r>
              <w:rPr>
                <w:rFonts w:ascii="Times New Roman" w:hAnsi="Times New Roman"/>
                <w:sz w:val="24"/>
              </w:rPr>
              <w:t xml:space="preserve"> dvojímu vykázání, instituce nevykazují úpravy, které již uplatnily podle článku 111 nařízení (EU) č. 575/2013 při výpočtu hodnot expozic v buňkách {0010;0010} až </w:t>
            </w:r>
            <w:r>
              <w:rPr>
                <w:rFonts w:ascii="Times New Roman" w:hAnsi="Times New Roman"/>
                <w:sz w:val="24"/>
              </w:rPr>
              <w:lastRenderedPageBreak/>
              <w:t>{0269;0010}</w:t>
            </w:r>
            <w:r>
              <w:rPr>
                <w:sz w:val="24"/>
              </w:rPr>
              <w:t xml:space="preserve">, </w:t>
            </w:r>
            <w:r>
              <w:rPr>
                <w:rFonts w:ascii="Times New Roman" w:hAnsi="Times New Roman"/>
                <w:sz w:val="24"/>
              </w:rPr>
              <w:t>a nevykazují ani úpravy, které nespočívají v odpočtu hodnoty určitého aktiva.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Jelikož tyto částky jsou již odečteny od míry kapitálu, snižují expozici pákového poměru a vykazují se jako záporné číslo.</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Odečtená hodnota aktiv – kapitál tier 1 – přechodná definice</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sz w:val="24"/>
              </w:rPr>
              <w:t>Ustanovení čl.  429a odst. 1 písm. b) a čl. 499 odst. 1 písm. a) nařízení (EU) č.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Zahrnuje veškeré úpravy hodnoty aktiva, které jsou vyžadovány těmito ustanoveními:</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články 32 až 35 nařízení (EU) č. 575/2013 nebo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články 36 až 47 nařízení (EU) č. 575/2013 nebo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články 56 až 60 nařízení (EU) č.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podle příslušných případů.</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zohlední vynětí, alternativní postupy a výjimky z těchto odpočtů stanovené v článcích 48, 49 a 79 nařízení (EU) č. 575/2013 navíc k odchylkám uvedeným v části desáté hlavě I kapitolách 1, 2 a 4 nařízení (EU) č. 575/2013. Aby nedocházelo </w:t>
            </w:r>
            <w:proofErr w:type="gramStart"/>
            <w:r>
              <w:rPr>
                <w:rFonts w:ascii="Times New Roman" w:hAnsi="Times New Roman"/>
                <w:sz w:val="24"/>
              </w:rPr>
              <w:t>k</w:t>
            </w:r>
            <w:proofErr w:type="gramEnd"/>
            <w:r>
              <w:rPr>
                <w:rFonts w:ascii="Times New Roman" w:hAnsi="Times New Roman"/>
                <w:sz w:val="24"/>
              </w:rPr>
              <w:t> dvojímu započtení, neuvádějí instituce úpravy, které již uplatnily podle článku 111 nařízení (EU) č. 575/2013při výpočtu hodnot expozic v buňkách {0010;0010} až {0269;0010}, a neuvádějí ani úpravy, které nespočívají v odpočtu hodnoty určitého aktiva.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Jelikož tyto částky jsou již odečteny od míry kapitálu, snižují expozici pákového poměru a vykazují se jako záporné číslo.</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Celková míra expozice pákového poměru – použití plně zavedené definice kapitálu tier 1</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součet všech řádků 0010 až 0269 a řádku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Celková míra expozice pákového poměru – použití přechodné definice kapitálu tier 1</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Instituce vykazují součet všech řádků 0010 až 0269 a řádku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Řádek a sloupec</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Kapitál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lastRenderedPageBreak/>
              <w:t>Kapitál tier 1 – plně zavedená definice</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Ustanovení čl. 429 odst. 3 a čl. 499 odst. 1 písm. a) nařízení (EU) č.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Jedná se o výši kapitálu tier 1 vypočtenou v souladu s článkem 25 nařízení (EU) č. 575/2013 bez zohlednění odchylek uvedených v části desáté hlavě I kapitolách 1, 2 a 4 nařízení (EU) č.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Kapitál tier 1 – přechodná definice</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 odst. 3 a čl. 499 odst. 1 písm. b) nařízení (EU) č.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Jedná se o výši kapitálu tier 1 vypočtenou v souladu s článkem 25 nařízení (EU) č. 575/2013 po zohlednění odchylek uvedených v části desáté hlavě I kapitolách 1, 2 a 4 nařízení (EU) č.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Řádek a sloupec</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Pákový poměr</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Pákový poměr – použití plně zavedené definice kapitálu tier 1</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 odst. 2 a čl. 499 odst. 1 nařízení (EU) č.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Jedná se o pákový poměr vypočtený v souladu s částí II bodem 2 této přílohy.</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Pákový poměr – použití přechodné definice kapitálu tier 1</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Ustanovení čl. 429 odst. 2 a čl. 499 odst. 1  nařízení (EU) č.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Jedná se o pákový poměr vypočtený v souladu s částí II bodem 3 této přílohy.</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Řádek a sloupec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Požadavky: objem</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Požadavek podle pilíře 2 (P2R) k řešení rizik nadměrné páky</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Články 104 a 104a SMĚRNICE 2013/36/EU; dodatečný kapitál požadovaný příslušným orgánem k řešení rizik nadměrné páky, jak je uvedeno v článku 104 SMĚRNICE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Z toho: složený z kapitálu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Část požadavku P2R podle řádku 0350, která musí být podle požadavku příslušného orgánu držena ve formě kapitálu CET1</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Kapitálová rezerva k pákovému poměru u G-SVI</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Ustanovení čl. 92 odst. 1a nařízení (EU) č.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G-SVI vykazují hodnotu navýšení k pákovému poměru G-SVI určenou podle čl. 92 odst. 1a nařízení (EU) č.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lastRenderedPageBreak/>
              <w:t>G-SVI vykazují tuto hodnotu k datu uplatnění rezervy podle nařízení (EU) č.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Pokyn podle pilíře 2 (P2G) k řešení rizik nadměrné páky</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Článek 104b směrnice 2013/36/EU; pokyn k držení dodatečného kapitálu k řešení rizik nadměrné páky sdělený příslušným orgánem, jak je uvedeno v článku 104b SMĚRNICE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Z toho: složený z kapitálu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Část pokynu P2G podle řádku 0380, která musí být podle požadavku příslušného orgánu držena ve formě kapitálu CET1</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Z toho: složený z kapitálu tier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Část pokynu P2G podle řádku 0380, která musí být podle požadavku příslušného orgánu držena ve formě kapitálu tier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Řádek a sloupec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Požadavky: poměry</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Požadavek na pákový poměr podle pilíře 1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Ustanovení čl.  92 odst. 1 písm. d) a čl. 429a odst. 7 a čl. 429a odst. 1 písm. n) nařízení (EU) č. 575/2013 pákový poměr potřebný k řešení rizik nadměrné páky, jak je uvedeno v čl. 92 odst. 1 písm. d) nařízení (EU) č.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Instituce, které </w:t>
            </w:r>
            <w:proofErr w:type="gramStart"/>
            <w:r>
              <w:rPr>
                <w:rFonts w:ascii="Times New Roman" w:hAnsi="Times New Roman"/>
                <w:sz w:val="24"/>
              </w:rPr>
              <w:t>vyloučí</w:t>
            </w:r>
            <w:proofErr w:type="gramEnd"/>
            <w:r>
              <w:rPr>
                <w:rFonts w:ascii="Times New Roman" w:hAnsi="Times New Roman"/>
                <w:sz w:val="24"/>
              </w:rPr>
              <w:t xml:space="preserve"> expozice vůči své centrální bance, jak je uvedeno v čl. 429a odst. 1 písm. n), vykazují požadavek na upravený pákový poměr podle čl. 429a odst. 7 nařízení (EU) č.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Celkový požadavek na pákový poměr na základě procesu přezkumu a hodnocení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 xml:space="preserve">Články 104a </w:t>
            </w:r>
            <w:proofErr w:type="spellStart"/>
            <w:r>
              <w:rPr>
                <w:rFonts w:ascii="Times New Roman" w:hAnsi="Times New Roman"/>
                <w:sz w:val="24"/>
              </w:rPr>
              <w:t>104a</w:t>
            </w:r>
            <w:proofErr w:type="spellEnd"/>
            <w:r>
              <w:rPr>
                <w:rFonts w:ascii="Times New Roman" w:hAnsi="Times New Roman"/>
                <w:sz w:val="24"/>
              </w:rPr>
              <w:t xml:space="preserve"> SMĚRNICE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Součet hodnot v bodech i) a </w:t>
            </w:r>
            <w:proofErr w:type="spellStart"/>
            <w:r>
              <w:rPr>
                <w:rFonts w:ascii="Times New Roman" w:hAnsi="Times New Roman"/>
                <w:sz w:val="24"/>
              </w:rPr>
              <w:t>ii</w:t>
            </w:r>
            <w:proofErr w:type="spellEnd"/>
            <w:r>
              <w:rPr>
                <w:rFonts w:ascii="Times New Roman" w:hAnsi="Times New Roman"/>
                <w:sz w:val="24"/>
              </w:rPr>
              <w:t>):</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požadavek na pákový poměr podle pilíře 1 vykázaný v řádku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poměr dodatečného kapitálu požadovaný příslušným orgánem (P2R) k řešení rizik nadměrné páky, jak je uvedeno v článku 104 SMĚRNICE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 xml:space="preserve">Instituce vypočítají bod </w:t>
            </w:r>
            <w:proofErr w:type="spellStart"/>
            <w:r>
              <w:rPr>
                <w:rFonts w:ascii="Times New Roman" w:hAnsi="Times New Roman"/>
                <w:sz w:val="24"/>
              </w:rPr>
              <w:t>ii</w:t>
            </w:r>
            <w:proofErr w:type="spellEnd"/>
            <w:r>
              <w:rPr>
                <w:rFonts w:ascii="Times New Roman" w:hAnsi="Times New Roman"/>
                <w:sz w:val="24"/>
              </w:rPr>
              <w:t>) vydělením hodnoty v buňce {0350;0010} hodnotou v buňce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Jestliže příslušný orgán nesdělil žádné dodatečné kapitálové požadavky, uvádí se pouze bod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složený z kapitálu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Část poměru dodatečného kapitálu podle bodu </w:t>
            </w:r>
            <w:proofErr w:type="spellStart"/>
            <w:r>
              <w:rPr>
                <w:rFonts w:ascii="Times New Roman" w:hAnsi="Times New Roman"/>
                <w:color w:val="auto"/>
                <w:sz w:val="24"/>
              </w:rPr>
              <w:t>ii</w:t>
            </w:r>
            <w:proofErr w:type="spellEnd"/>
            <w:r>
              <w:rPr>
                <w:rFonts w:ascii="Times New Roman" w:hAnsi="Times New Roman"/>
                <w:color w:val="auto"/>
                <w:sz w:val="24"/>
              </w:rPr>
              <w:t>) řádku 0420, která musí být podle požadavku příslušného orgánu držena ve formě kapitálu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Instituce vypočítají tuto hodnotu vydělením hodnoty v buňce {0360;0010} hodnotou v buňce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Souhrnný požadavek na pákový poměr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Ustanovení čl. 92 odst. 1a nařízení (EU) č.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Součet hodnot v bodech i) a </w:t>
            </w:r>
            <w:proofErr w:type="spellStart"/>
            <w:r>
              <w:rPr>
                <w:rFonts w:ascii="Times New Roman" w:hAnsi="Times New Roman"/>
                <w:color w:val="auto"/>
                <w:sz w:val="24"/>
              </w:rPr>
              <w:t>ii</w:t>
            </w:r>
            <w:proofErr w:type="spellEnd"/>
            <w:r>
              <w:rPr>
                <w:rFonts w:ascii="Times New Roman" w:hAnsi="Times New Roman"/>
                <w:color w:val="auto"/>
                <w:sz w:val="24"/>
              </w:rPr>
              <w:t>):</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požadavek TSLRR uvedený v řádku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kapitálová rezerva k pákovému poměru G-SVI podle čl. 92 odst. 1a nařízení (EU) č. 575/2013, vyjádřená jako procento celkové expozice pákového poměru;</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 xml:space="preserve">Instituce vypočítají bod </w:t>
            </w:r>
            <w:proofErr w:type="spellStart"/>
            <w:r>
              <w:rPr>
                <w:rFonts w:ascii="Times New Roman" w:hAnsi="Times New Roman"/>
                <w:sz w:val="24"/>
              </w:rPr>
              <w:t>ii</w:t>
            </w:r>
            <w:proofErr w:type="spellEnd"/>
            <w:r>
              <w:rPr>
                <w:rFonts w:ascii="Times New Roman" w:hAnsi="Times New Roman"/>
                <w:sz w:val="24"/>
              </w:rPr>
              <w:t>) vydělením hodnoty v buňce {0370;0010} hodnotou v buňce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sz w:val="24"/>
              </w:rPr>
              <w:t xml:space="preserve">Bod </w:t>
            </w:r>
            <w:proofErr w:type="spellStart"/>
            <w:r>
              <w:rPr>
                <w:sz w:val="24"/>
              </w:rPr>
              <w:t>ii</w:t>
            </w:r>
            <w:proofErr w:type="spellEnd"/>
            <w:r>
              <w:rPr>
                <w:sz w:val="24"/>
              </w:rPr>
              <w:t>) zohledňují G-SVI až od data uplatnění rezervy podle nařízení (EU) č.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Neuplatňuje-li se navýšení pro G-SVI, vykazuje se pouze bod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Souhrnný požadavek na pákový poměr (OLRR) a pokyn podle pilíře 2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Článek 104b směrnice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Součet hodnot v bodech i) a </w:t>
            </w:r>
            <w:proofErr w:type="spellStart"/>
            <w:r>
              <w:rPr>
                <w:rFonts w:ascii="Times New Roman" w:hAnsi="Times New Roman"/>
                <w:sz w:val="24"/>
              </w:rPr>
              <w:t>ii</w:t>
            </w:r>
            <w:proofErr w:type="spellEnd"/>
            <w:r>
              <w:rPr>
                <w:rFonts w:ascii="Times New Roman" w:hAnsi="Times New Roman"/>
                <w:sz w:val="24"/>
              </w:rPr>
              <w:t>):</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požadavek OLRR uvedený v řádku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pokyn k držení dodatečného kapitálu k řešení rizik nadměrné páky sdělený příslušným orgánem, jak je uvedeno v článku 104b směrnice 2013/36/EU, vyjádřený jako procento celkové expozice pákového poměru.</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 xml:space="preserve">Instituce vypočítají bod </w:t>
            </w:r>
            <w:proofErr w:type="spellStart"/>
            <w:r>
              <w:rPr>
                <w:rFonts w:ascii="Times New Roman" w:hAnsi="Times New Roman"/>
                <w:sz w:val="24"/>
              </w:rPr>
              <w:t>ii</w:t>
            </w:r>
            <w:proofErr w:type="spellEnd"/>
            <w:r>
              <w:rPr>
                <w:rFonts w:ascii="Times New Roman" w:hAnsi="Times New Roman"/>
                <w:sz w:val="24"/>
              </w:rPr>
              <w:t>) vydělením hodnoty v buňce {0380;0010} hodnotou v buňce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Pokud příslušný orgán nesdělil žádný pokyn podle pilíře 2, vykazuje se pouze bod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a P2G: složený z kapitálu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Součet hodnot v bodech i) a </w:t>
            </w:r>
            <w:proofErr w:type="spellStart"/>
            <w:r>
              <w:rPr>
                <w:rFonts w:ascii="Times New Roman" w:hAnsi="Times New Roman"/>
                <w:color w:val="auto"/>
                <w:sz w:val="24"/>
              </w:rPr>
              <w:t>ii</w:t>
            </w:r>
            <w:proofErr w:type="spellEnd"/>
            <w:r>
              <w:rPr>
                <w:rFonts w:ascii="Times New Roman" w:hAnsi="Times New Roman"/>
                <w:color w:val="auto"/>
                <w:sz w:val="24"/>
              </w:rPr>
              <w:t>):</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část poměru dodatečného kapitálu, která je podle požadavku příslušného orgánu držena ve formě kapitálu CET1, uvedená v řádku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 xml:space="preserve">část poměru P2G podle bodu </w:t>
            </w:r>
            <w:proofErr w:type="spellStart"/>
            <w:r>
              <w:rPr>
                <w:rFonts w:ascii="Times New Roman" w:hAnsi="Times New Roman"/>
                <w:color w:val="auto"/>
                <w:sz w:val="24"/>
              </w:rPr>
              <w:t>ii</w:t>
            </w:r>
            <w:proofErr w:type="spellEnd"/>
            <w:r>
              <w:rPr>
                <w:rFonts w:ascii="Times New Roman" w:hAnsi="Times New Roman"/>
                <w:color w:val="auto"/>
                <w:sz w:val="24"/>
              </w:rPr>
              <w:t>) řádku 0450, která musí být podle pokynu sděleného příslušným orgánem držena ve formě kapitálu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 xml:space="preserve">Instituce vypočítají bod </w:t>
            </w:r>
            <w:proofErr w:type="spellStart"/>
            <w:r>
              <w:rPr>
                <w:rFonts w:ascii="Times New Roman" w:hAnsi="Times New Roman"/>
                <w:sz w:val="24"/>
              </w:rPr>
              <w:t>ii</w:t>
            </w:r>
            <w:proofErr w:type="spellEnd"/>
            <w:r>
              <w:rPr>
                <w:rFonts w:ascii="Times New Roman" w:hAnsi="Times New Roman"/>
                <w:sz w:val="24"/>
              </w:rPr>
              <w:t>) vydělením hodnoty v buňce {0390;0010} hodnotou v buňce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Pokud příslušný orgán nesdělil žádný pokyn podle pilíře 2, vykazuje se pouze bod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a P2G: složený z kapitálu tier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Součet hodnot v bodech i), </w:t>
            </w:r>
            <w:proofErr w:type="spellStart"/>
            <w:r>
              <w:rPr>
                <w:rFonts w:ascii="Times New Roman" w:hAnsi="Times New Roman"/>
                <w:color w:val="auto"/>
                <w:sz w:val="24"/>
              </w:rPr>
              <w:t>ii</w:t>
            </w:r>
            <w:proofErr w:type="spellEnd"/>
            <w:r>
              <w:rPr>
                <w:rFonts w:ascii="Times New Roman" w:hAnsi="Times New Roman"/>
                <w:color w:val="auto"/>
                <w:sz w:val="24"/>
              </w:rPr>
              <w:t>) a </w:t>
            </w:r>
            <w:proofErr w:type="spellStart"/>
            <w:r>
              <w:rPr>
                <w:rFonts w:ascii="Times New Roman" w:hAnsi="Times New Roman"/>
                <w:color w:val="auto"/>
                <w:sz w:val="24"/>
              </w:rPr>
              <w:t>iii</w:t>
            </w:r>
            <w:proofErr w:type="spellEnd"/>
            <w:r>
              <w:rPr>
                <w:rFonts w:ascii="Times New Roman" w:hAnsi="Times New Roman"/>
                <w:color w:val="auto"/>
                <w:sz w:val="24"/>
              </w:rPr>
              <w:t>):</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celkový požadavek na pákový poměr na základě procesu přezkumu a hodnocení uvedený v řádku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kapitálová rezerva k pákovému poměru G-SVI podle čl. 92 odst. 1a nařízení (EU) č. 575/2013, vyjádřená jako procento celkové expozice pákového poměru;</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 xml:space="preserve">část poměru P2G podle bodu </w:t>
            </w:r>
            <w:proofErr w:type="spellStart"/>
            <w:r>
              <w:rPr>
                <w:rFonts w:ascii="Times New Roman" w:hAnsi="Times New Roman"/>
                <w:color w:val="auto"/>
                <w:sz w:val="24"/>
              </w:rPr>
              <w:t>ii</w:t>
            </w:r>
            <w:proofErr w:type="spellEnd"/>
            <w:r>
              <w:rPr>
                <w:rFonts w:ascii="Times New Roman" w:hAnsi="Times New Roman"/>
                <w:color w:val="auto"/>
                <w:sz w:val="24"/>
              </w:rPr>
              <w:t>) řádku 0450, která musí být podle požadavku příslušného orgánu držena ve formě kapitálu tier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 xml:space="preserve">Instituce vypočítají bod </w:t>
            </w:r>
            <w:proofErr w:type="spellStart"/>
            <w:r>
              <w:rPr>
                <w:rFonts w:ascii="Times New Roman" w:hAnsi="Times New Roman"/>
                <w:sz w:val="24"/>
              </w:rPr>
              <w:t>ii</w:t>
            </w:r>
            <w:proofErr w:type="spellEnd"/>
            <w:r>
              <w:rPr>
                <w:rFonts w:ascii="Times New Roman" w:hAnsi="Times New Roman"/>
                <w:sz w:val="24"/>
              </w:rPr>
              <w:t>) vydělením hodnoty v buňce {0370;0010} hodnotou v buňce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 xml:space="preserve">Instituce vypočítají bod </w:t>
            </w:r>
            <w:proofErr w:type="spellStart"/>
            <w:r>
              <w:rPr>
                <w:rFonts w:ascii="Times New Roman" w:hAnsi="Times New Roman"/>
                <w:sz w:val="24"/>
              </w:rPr>
              <w:t>iii</w:t>
            </w:r>
            <w:proofErr w:type="spellEnd"/>
            <w:r>
              <w:rPr>
                <w:rFonts w:ascii="Times New Roman" w:hAnsi="Times New Roman"/>
                <w:sz w:val="24"/>
              </w:rPr>
              <w:t>) vydělením hodnoty v buňce {0400;0010} hodnotou v buňce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Neuplatňuje-li se navýšení pro G-SVI, vykazují se pouze body i) a </w:t>
            </w:r>
            <w:proofErr w:type="spellStart"/>
            <w:r>
              <w:rPr>
                <w:rFonts w:ascii="Times New Roman" w:hAnsi="Times New Roman"/>
                <w:color w:val="auto"/>
                <w:sz w:val="24"/>
              </w:rPr>
              <w:t>iii</w:t>
            </w:r>
            <w:proofErr w:type="spellEnd"/>
            <w:r>
              <w:rPr>
                <w:rFonts w:ascii="Times New Roman" w:hAnsi="Times New Roman"/>
                <w:color w:val="auto"/>
                <w:sz w:val="24"/>
              </w:rPr>
              <w:t>).</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Pokud příslušný orgán nesdělil žádný pokyn podle pilíře 2, vykazují se pouze body i) a </w:t>
            </w:r>
            <w:proofErr w:type="spellStart"/>
            <w:r>
              <w:rPr>
                <w:rFonts w:ascii="Times New Roman" w:hAnsi="Times New Roman"/>
                <w:color w:val="auto"/>
                <w:sz w:val="24"/>
              </w:rPr>
              <w:t>ii</w:t>
            </w:r>
            <w:proofErr w:type="spellEnd"/>
            <w:r>
              <w:rPr>
                <w:rFonts w:ascii="Times New Roman" w:hAnsi="Times New Roman"/>
                <w:color w:val="auto"/>
                <w:sz w:val="24"/>
              </w:rPr>
              <w: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Řádek a sloupec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Doplňkové položky</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Nařízení (EU) č. 575/2013</w:t>
            </w:r>
            <w:r>
              <w:rPr>
                <w:rFonts w:ascii="Times New Roman" w:hAnsi="Times New Roman"/>
                <w:sz w:val="24"/>
              </w:rPr>
              <w:t xml:space="preserve"> </w:t>
            </w:r>
            <w:proofErr w:type="gramStart"/>
            <w:r>
              <w:rPr>
                <w:rFonts w:ascii="Times New Roman" w:hAnsi="Times New Roman"/>
                <w:color w:val="auto"/>
                <w:sz w:val="24"/>
              </w:rPr>
              <w:t>Nařízení  (</w:t>
            </w:r>
            <w:proofErr w:type="gramEnd"/>
            <w:r>
              <w:rPr>
                <w:rFonts w:ascii="Times New Roman" w:hAnsi="Times New Roman"/>
                <w:color w:val="auto"/>
                <w:sz w:val="24"/>
              </w:rPr>
              <w:t xml:space="preserve">EU) č.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lastRenderedPageBreak/>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Pákový poměr, jako kdyby se neuplatnilo dočasné zacházení s nerealizovanými zisky a ztrátami při oceňování reálnou hodnotou prostřednictvím ostatního úplného výsledku hospodaření</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Ustanovení čl. 468 odst. 5 nařízení (EU) č.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Instituce, které se rozhodly uplatňovat dočasné zacházení podle čl. 468 odst. 1 nařízení (EU) č. 575/2013, vykazují pákový poměr, který by měly, kdyby toto zacházení neuplatňovaly.</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4035850"/>
      <w:r>
        <w:rPr>
          <w:rFonts w:ascii="Times New Roman" w:hAnsi="Times New Roman"/>
          <w:b/>
          <w:sz w:val="24"/>
        </w:rPr>
        <w:t>4.</w:t>
      </w:r>
      <w:r>
        <w:tab/>
      </w:r>
      <w:r>
        <w:rPr>
          <w:rFonts w:ascii="Times New Roman" w:hAnsi="Times New Roman"/>
          <w:b/>
          <w:sz w:val="24"/>
        </w:rPr>
        <w:t>C 40.00 – Alternativní postup určení míry expozice</w:t>
      </w:r>
      <w:bookmarkEnd w:id="51"/>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V této části výkazů jsou sdruženy údaje týkající se alternativního zacházení s deriváty, transakcemi SFT, podrozvahovými položkami, vyňatými investicemi veřejného sektoru a vyňatými expozicemi vůči podpůrným úvěrům.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Instituce stanoví v LR1 „rozvahové hodnoty“ na základě použitelného účetního rámce podle čl. 4 odst. 1 bodu 77 nařízení (EU) č. 575/2013. Pojem „účetní hodnota za předpokladu, že není provedeno započtení ani jiné CRM“ označuje rozvahovou hodnotu, v níž nejsou zohledněny účinky započtení nebo jiného snižování úvěrového rizika.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 xml:space="preserve">Instituce vykazují položky LR1, jako kdyby se v šabloně </w:t>
      </w:r>
      <w:proofErr w:type="spellStart"/>
      <w:r>
        <w:rPr>
          <w:rFonts w:ascii="Times New Roman" w:hAnsi="Times New Roman"/>
          <w:sz w:val="24"/>
        </w:rPr>
        <w:t>LRCalc</w:t>
      </w:r>
      <w:proofErr w:type="spellEnd"/>
      <w:r>
        <w:rPr>
          <w:rFonts w:ascii="Times New Roman" w:hAnsi="Times New Roman"/>
          <w:sz w:val="24"/>
        </w:rPr>
        <w:t xml:space="preserve"> neuplatnily položky se záporným znaménkem (například vynětí/odpočty) v souladu s konvencí v oblasti znamének v části I bodu 9 této přílohy, s výjimkou řádků {0270;0010}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Celková aktiva ({r</w:t>
      </w:r>
      <w:proofErr w:type="gramStart"/>
      <w:r>
        <w:rPr>
          <w:rFonts w:ascii="Times New Roman" w:hAnsi="Times New Roman"/>
          <w:sz w:val="24"/>
        </w:rPr>
        <w:t>0410;c</w:t>
      </w:r>
      <w:proofErr w:type="gramEnd"/>
      <w:r>
        <w:rPr>
          <w:rFonts w:ascii="Times New Roman" w:hAnsi="Times New Roman"/>
          <w:sz w:val="24"/>
        </w:rPr>
        <w:t>0010}) v šabloně 40.00 vykazují:</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velké instituce, které jsou buď G-SVI, nebo vydaly cenné papíry, jež jsou přijaty k obchodování na regulovaném trhu, s půlroční periodicitou,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velké instituce jiné než G-SVI, které jsou nekotovanými institucemi, s roční periodicitou,</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ostatní instituce jiné než velké instituce a malé a nepříliš složité instituce, které vydaly cenné papíry, jež jsou přijaty k obchodování na regulovaném trhu, s roční periodicitou.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Řádek a sloupec</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Odkazy na právní předpisy a pokyny</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Deriváty – rozvahová hodnota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Jedná se o součet buněk {0020;010}, {0050;0010} a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 účetní hodnota za předpokladu, že není provedeno započtení ani jiné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Jedná se o součet buněk {0020;0020}, {0050;0020} a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 pomyslná hodnota</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Jedná se o součet buněk {0020;0070}, {0050;0070} a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(prodané zajištění) – rozvahová hodnota</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Ustanovení čl. 4 odst. 1 bodu 77 nařízení (EU) č. 575/2013; rozvahová hodnota úvěrových derivátů podle použitelného účetního rámce, kde instituce prodává zajištění úvěrového rizika protistraně a smlouva je v rozvaze uznána jako aktivum</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Úvěrové deriváty (prodané zajištění) – účetní hodnota za předpokladu, že není provedeno započtení ani jiné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Ustanovení čl. 4 odst. 1 bodu 77 nařízení (EU) č. 575/2013 rozvahová hodnota podle použitelného účetního rámce u úvěrových derivátů, kde instituce prodává zajištění úvěrového rizika protistraně a smlouva je v rozvaze uznána jako aktivum, přičemž nejsou zohledněny účinky obezřetnostního či účetního započtení ani CRM (tj. provede se reverze účinků účetního započtení nebo CRM, které se projevily v účetní hodnotě)</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(prodané zajištění) – pomyslná hodnota</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Jedná se o součet buněk {0030;0070} a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(prodané zajištění) – limitovaná pomyslná hodnota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pomyslnou hodnotu, k níž odkazují úvěrové deriváty (prodané zajištění), jako v buňce {0020; 0070} po odečtení záporných změn reálné hodnoty, které byly ve vztahu k prodanému úvěrovému derivátu zohledněny v kapitálu tier 1.</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(prodané zajištění) podléhající uzavírací doložce – pomyslná hodnota</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Instituce vykazují pomyslnou hodnotu, k níž odkazují úvěrové deriváty, kde instituce prodává zajištění úvěrového rizika protistraně, přičemž transakce podléhá uzavírací doložce.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Instituce zohlední všechny úvěrové deriváty, nejen deriváty zařazené do obchodního portfolia.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(prodané zajištění) nepodléhající uzavírací doložce – pomyslná hodnota</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Instituce vykazují pomyslnou hodnotu, k níž odkazují úvěrové deriváty, kde instituce prodává zajištění úvěrového rizika protistraně, přičemž transakce nepodléhá uzavírací doložce.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zohlední všechny úvěrové deriváty, nejen deriváty zařazené do obchodního portfolia.</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(koupené zajištění) – rozvahová hodnota</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Ustanovení čl. 4 odst. 1 bodu 77 nařízení (EU) č. 575/2013; rozvahová hodnota podle použitelného účetního rámce u úvěrových derivátů, kde instituce kupuje zajištění úvěrového rizika od protistrany a smlouva je v rozvaze uznána jako aktivum</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zohlední všechny úvěrové deriváty, nejen deriváty zařazené do obchodního portfolia.</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(koupené zajištění) – účetní hodnota za předpokladu, že není provedeno započtení ani jiné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Ustanovení čl. 4 odst. 1 bodu 77 nařízení (EU) č. 575/2013 rozvahová hodnota podle použitelného účetního rámce u úvěrových derivátů, kde instituce kupuje zajištění úvěrového rizika od protistrany a smlouva je v rozvaze uznána jako aktivum, přičemž nejsou zohledněny účinky obezřetnostního či účetního započtení ani CRM (tj. provede se reverze účinků účetního započtení nebo CRM, které se projevily v účetní hodnotě)</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zohlední všechny úvěrové deriváty, nejen deriváty zařazené do obchodního portfolia.</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(koupené zajištění) – pomyslná hodnota</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vykazují pomyslnou hodnotu, k níž odkazují úvěrové deriváty, kde instituce kupuje zajištění úvěrového rizika od protistrany.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zohlední všechny úvěrové deriváty, nejen deriváty zařazené do obchodního portfolia.</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(koupené zajištění) – limitovaná pomyslná hodnota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Instituce vykazují pomyslnou hodnotu, k níž odkazují úvěrové deriváty (koupené zajištění), jako v buňce {0050;0070} po odečtení kladných změn </w:t>
            </w:r>
            <w:r>
              <w:rPr>
                <w:rFonts w:ascii="Times New Roman" w:hAnsi="Times New Roman"/>
                <w:sz w:val="24"/>
              </w:rPr>
              <w:lastRenderedPageBreak/>
              <w:t>reálné hodnoty, které byly ve vztahu ke koupenému úvěrovému derivátu zohledněny v kapitálu tier 1.</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Úvěrové deriváty (koupené zajištění) – limitovaná pomyslná hodnota (stejné referenční jméno)</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Instituce vykazují pomyslnou hodnotu, k níž odkazují úvěrové deriváty, kde instituce kupuje zajištění úvěrového rizika na stejné podkladové referenční jméno jako v případě prodaných úvěrových derivátů vykazující instituce.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Pro účely vykázání hodnoty v této buňce se podkladová referenční jména považují za stejná tehdy, pokud se týkají stejné právnické osoby a mají stejné pořadí pro uspokojení pohledávek.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Zajištění úvěrového rizika koupené pro seskupení referenčních subjektů se považuje za stejné tehdy, pokud je ekonomicky rovnocenné nákupu zajištění samostatně pro každé jednotlivé jméno v daném seskupení.</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Pokud instituce kupuje zajištění úvěrového rizika pro seskupení referenčních jmen, považuje se toto zajištění úvěrového rizika za stejné pouze tehdy, pokud kryje všechny podskupiny seskupení, na něž bylo zajištění úvěrového rizika prodáno. Jinými slovy, započtení lze uznat pouze v případě, že jsou seskupení referenčních subjektů a úroveň podřízenosti u obou transakcí totožné.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U žádného referenčního jména nesmí pomyslné hodnoty koupeného zajištění úvěrového rizika, které jsou za účelem vykazování zohledněny v této buňce, překročit částky uvedené v buňkách {0020;0075} a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Finanční deriváty – rozvahová hodnota</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Ustanovení čl. 4 odst. 1 bodu 77 nařízení (EU) č.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rozvahovou hodnotu podle použitelného účetního rámce u smluv uvedených v příloze II nařízení (EU) č. 575/2013, jsou-li v rozvaze uznány jako aktiva.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Finanční deriváty – účetní hodnota za předpokladu, že není provedeno započtení ani jiné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Ustanovení čl. 4 odst. 1 bodu 77 nařízení (EU) č. 575/2013 rozvahová hodnota podle použitelného účetního rámce u smluv uvedených v příloze II nařízení (EU) č. 575/2013, jsou-li v rozvaze uznány jako aktiva, přičemž nejsou zohledněny účinky obezřetnostního či účetního započtení ani jiného CRM (tj. provede se reverze účinků účetního započtení nebo CRM, které se projevily v účetní hodnotě)</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Finanční deriváty – pomyslná hodnota</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V této buňce se uvádí pomyslná hodnota, k níž odkazují smlouvy uvedené v příloze II nařízení (EU) č.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Transakce s financováním cenných papírů – rozvahová hodnota</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Ustanovení čl. 4 odst. 1 bodu 77 nařízení (EU) č. 575/2013 rozvahová hodnota transakcí SFT podle použitelného účetního rámce, jsou-li smlouvy v rozvaze uznány jako aktiva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Transakce s financováním cenných papírů – účetní hodnota za předpokladu, že není provedeno započtení ani jiné CRM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Ustanovení čl. 4 odst. 1 bodu 77 nařízení (EU) č. 575/2013 rozvahová hodnota podle použitelného účetního rámce, jsou-li smlouvy v rozvaze uznány jako aktiva, přičemž nejsou zohledněny účinky obezřetnostního či účetního započtení ani jiného CRM (tj. provede se reverze účinků účetního započtení nebo CRM, které se projevily v účetní hodnotě).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Pokud použitelný účetní rámec umožňuje účtovat o transakci SFT jako o prodeji, provedou instituce reverzi všech účetních zápisů souvisejících s prodejem.</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Ostatní aktiva – rozvahová hodnota</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Ustanovení čl. 4 odst. 1 bodu 77 nařízení (EU) č. 575/2013; rozvahová hodnota podle použitelného účetního rámce u všech aktiv s výjimkou smluv uvedených v příloze II nařízení (EU) č. 575/2013, úvěrových derivátů a transakcí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Ostatní aktiva – účetní hodnota za předpokladu, že není provedeno započtení ani jiné CRM</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Ustanovení čl. 4 odst. 1 bodu 77 nařízení (EU) č. 575/2013; rozvahová hodnota podle použitelného účetního rámce u všech aktiv s výjimkou smluv uvedených v příloze II nařízení (EU) č. 575/2013, úvěrových derivátů a transakcí SFT, přičemž nejsou zohledněny účinky účetního započtení ani jiného CRM (tj. provede se reverze účinků účetního započtení nebo CRM, které se projevily v účetní hodnotě)</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Podrozvahové položky</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nominální hodnotu podrozvahových položek. V souladu s čl. 429f odst. 1 nařízení (EU) č. 575/2013instituce v této buňce nezohlední smlouvy uvedené v příloze II nařízení (EU) č. 575/2013, úvěrové deriváty a transakce SFT.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Hotovostní kolaterál přijatý v derivátových transakcích – účetní hodnota za předpokladu, že není provedeno započtení ani jiné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Rozvahová hodnota podle použitelného účetního rámce u hotovostního kolaterálu přijatého v rámci derivátových transakcí bez zohlednění účinků účetního započtení nebo jiného CRM (tj. provede se reverze účinků účetního započtení nebo CRM, které se projevily v účetní hodnotě)</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Pohledávky z hotovostního kolaterálu složeného v derivátových transakcích – účetní hodnota za předpokladu, že není provedeno započtení ani jiné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Rozvahová hodnota podle použitelného účetního rámce u pohledávek z hotovostního kolaterálu složeného v derivátových transakcích bez zohlednění účinků účetního započtení nebo CRM (tj. provede se reverze účinků účetního započtení nebo CRM, které se projevily v účetní hodnotě)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Instituce, jimž je podle použitelného účetního rámce povoleno započítat pohledávku ze složeného hotovostního kolaterálu proti souvisejícím derivátovým závazkům (záporná reálná hodnota) a které se rozhodnou tak učinit, provedou reverzi započtení a vykážou čistou hotovostní pohledávku.</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Cenné papíry přijaté v rámci SFT, které jsou uznány jako aktivum – účetní hodnota za předpokladu, že není provedeno započtení ani jiné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Rozvahová hodnota podle použitelného účetního rámce u cenných papírů přijatých v rámci SFT, které jsou podle použitelného účetního rámce v rozvaze uznány jako aktivum, přičemž nejsou zohledněny účinky účetního započtení ani jiného CRM (tj. provede se reverze účinků účetního započtení nebo CRM, které se projevily v účetní hodnotě)</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Transakce SFT s hotovostním prostředníkem (hotovostní pohledávky) – účetní hodnota za předpokladu, že není provedeno započtení ani jiné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lastRenderedPageBreak/>
              <w:t xml:space="preserve">Rozvahová hodnota podle použitelného účetního rámce u pohledávek plynoucích z hotovosti </w:t>
            </w:r>
            <w:proofErr w:type="spellStart"/>
            <w:r>
              <w:rPr>
                <w:rFonts w:ascii="Times New Roman" w:hAnsi="Times New Roman"/>
                <w:sz w:val="24"/>
              </w:rPr>
              <w:t>přepůjčené</w:t>
            </w:r>
            <w:proofErr w:type="spellEnd"/>
            <w:r>
              <w:rPr>
                <w:rFonts w:ascii="Times New Roman" w:hAnsi="Times New Roman"/>
                <w:sz w:val="24"/>
              </w:rPr>
              <w:t xml:space="preserve"> majiteli cenných papírů v rámci kvalifikované úvěrové transakce s hotovostním prostředníkem („cash </w:t>
            </w:r>
            <w:proofErr w:type="spellStart"/>
            <w:r>
              <w:rPr>
                <w:rFonts w:ascii="Times New Roman" w:hAnsi="Times New Roman"/>
                <w:sz w:val="24"/>
              </w:rPr>
              <w:t>conduit</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xml:space="preserve"> </w:t>
            </w:r>
            <w:proofErr w:type="spellStart"/>
            <w:r>
              <w:rPr>
                <w:rFonts w:ascii="Times New Roman" w:hAnsi="Times New Roman"/>
                <w:sz w:val="24"/>
              </w:rPr>
              <w:t>transaction</w:t>
            </w:r>
            <w:proofErr w:type="spellEnd"/>
            <w:r>
              <w:rPr>
                <w:rFonts w:ascii="Times New Roman" w:hAnsi="Times New Roman"/>
                <w:sz w:val="24"/>
              </w:rPr>
              <w:t>“) bez zohlednění účinků účetního započtení nebo jiného CRM (tj. provede se reverze účinků účetního započtení nebo CRM, které se projevily v účetní hodnotě)</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Úvěrovou transakcí s hotovostním prostředníkem se rozumí kombinace dvou transakcí, kdy si instituce </w:t>
            </w:r>
            <w:proofErr w:type="gramStart"/>
            <w:r>
              <w:rPr>
                <w:rFonts w:ascii="Times New Roman" w:hAnsi="Times New Roman"/>
                <w:sz w:val="24"/>
              </w:rPr>
              <w:t>vypůjčí</w:t>
            </w:r>
            <w:proofErr w:type="gramEnd"/>
            <w:r>
              <w:rPr>
                <w:rFonts w:ascii="Times New Roman" w:hAnsi="Times New Roman"/>
                <w:sz w:val="24"/>
              </w:rPr>
              <w:t xml:space="preserve"> cenné papíry od vlastníka cenných papírů a </w:t>
            </w:r>
            <w:proofErr w:type="spellStart"/>
            <w:r>
              <w:rPr>
                <w:rFonts w:ascii="Times New Roman" w:hAnsi="Times New Roman"/>
                <w:sz w:val="24"/>
              </w:rPr>
              <w:t>přepůjčí</w:t>
            </w:r>
            <w:proofErr w:type="spellEnd"/>
            <w:r>
              <w:rPr>
                <w:rFonts w:ascii="Times New Roman" w:hAnsi="Times New Roman"/>
                <w:sz w:val="24"/>
              </w:rPr>
              <w:t xml:space="preserve"> je vypůjčiteli cenných papírů. Současně instituce </w:t>
            </w:r>
            <w:proofErr w:type="gramStart"/>
            <w:r>
              <w:rPr>
                <w:rFonts w:ascii="Times New Roman" w:hAnsi="Times New Roman"/>
                <w:sz w:val="24"/>
              </w:rPr>
              <w:t>obdrží</w:t>
            </w:r>
            <w:proofErr w:type="gramEnd"/>
            <w:r>
              <w:rPr>
                <w:rFonts w:ascii="Times New Roman" w:hAnsi="Times New Roman"/>
                <w:sz w:val="24"/>
              </w:rPr>
              <w:t xml:space="preserve"> od vypůjčitele cenných papírů hotovostní kolaterál a přijatou hotovost </w:t>
            </w:r>
            <w:proofErr w:type="spellStart"/>
            <w:r>
              <w:rPr>
                <w:rFonts w:ascii="Times New Roman" w:hAnsi="Times New Roman"/>
                <w:sz w:val="24"/>
              </w:rPr>
              <w:t>přepůjčuje</w:t>
            </w:r>
            <w:proofErr w:type="spellEnd"/>
            <w:r>
              <w:rPr>
                <w:rFonts w:ascii="Times New Roman" w:hAnsi="Times New Roman"/>
                <w:sz w:val="24"/>
              </w:rPr>
              <w:t xml:space="preserve"> vlastníkovi cenných papírů. Kvalifikovaná úvěrová transakce s hotovostním prostředníkem splňuje všechny tyto podmínky:</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tab/>
            </w:r>
            <w:r>
              <w:rPr>
                <w:rFonts w:ascii="Times New Roman" w:hAnsi="Times New Roman"/>
                <w:color w:val="000000"/>
                <w:sz w:val="24"/>
              </w:rPr>
              <w:t>obě jednotlivé transakce, ze kterých se kvalifikovaná úvěrová transakce s hotovostním prostředníkem skládá, jsou provedeny ve stejný den realizace obchodu, případně ve dvou po sobě následujících pracovních dnech, jedná-li se o mezinárodní transakci;</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tab/>
            </w:r>
            <w:r>
              <w:rPr>
                <w:rFonts w:ascii="Times New Roman" w:hAnsi="Times New Roman"/>
                <w:color w:val="000000"/>
                <w:sz w:val="24"/>
              </w:rPr>
              <w:t>pokud transakce, ze kterých se úvěrová transakce s hotovostním prostředníkem skládá, neuvádějí splatnost, má instituce zákonné právo kdykoli a bez předchozího upozornění kteroukoli z těchto transakcí uzavřít (tzn. obě transakce);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tab/>
            </w:r>
            <w:r>
              <w:rPr>
                <w:rFonts w:ascii="Times New Roman" w:hAnsi="Times New Roman"/>
                <w:color w:val="000000"/>
                <w:sz w:val="24"/>
              </w:rPr>
              <w:t>pokud transakce, ze kterých se úvěrová transakce s hotovostním prostředníkem skládá, uvádějí splatnost, nesmí tato úvěrová transakce s hotovostním prostředníkem pro danou instituci vyvolat nesoulad splatností; instituce má zákonné právo kdykoli a bez předchozího upozornění kteroukoli z transakcí, z nichž se úvěrová transakce s hotovostním prostředníkem skládá (tzn. obě transakce), uzavřít;</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tab/>
            </w:r>
            <w:r>
              <w:rPr>
                <w:rFonts w:ascii="Times New Roman" w:hAnsi="Times New Roman"/>
                <w:sz w:val="24"/>
              </w:rPr>
              <w:t>nevyplývají z ní žádné další dodatečné expozice.</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Investice veřejného sektoru – pohledávky vůči ústředním vládám – rozvahová hodnota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Je-li instituce veřejnou rozvojovou úvěrovou institucí, rozvahová hodnota podle použitelného účetního rámce u aktiv, která představují pohledávky vůči ústředním vládám týkající se investic veřejného sektoru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Zohlední se rovněž rozvahové hodnoty instituce, k níž příslušný orgán přistupuje jako k veřejné rozvojové úvěrové instituci podle čl. 429a odst. 2 posledního pododstavce.</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Investice veřejného sektoru – pohledávky vůči regionálním vládám – rozvahová hodnota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Je-li instituce veřejnou rozvojovou úvěrovou institucí, rozvahová hodnota podle použitelného účetního rámce u aktiv, která představují pohledávky vůči regionálním vládám týkající se investic veřejného sektoru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instituce, k níž příslušný orgán přistupuje jako k veřejné rozvojové úvěrové instituci podle čl. 429a odst. 2 posledního pododstavce.</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Investice veřejného sektoru – pohledávky vůči místním orgánům – rozvahová hodnota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místním orgánům týkající se investic veřejného sektoru</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instituce, k níž příslušný orgán přistupuje jako k veřejné rozvojové úvěrové instituci podle čl. 429a odst. 2 posledního pododstavce.</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Investice veřejného sektoru – pohledávky vůči subjektům veřejného sektoru – rozvahová hodnota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subjektům veřejného sektoru týkající se investic veřejného sektoru</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Podpůrné úvěry – pohledávky vůči ústředním vládám – rozvahová hodnota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Je-li instituce veřejnou rozvojovou úvěrovou institucí, rozvahová hodnota podle použitelného účetního rámce u aktiv, která představují pohledávky vůči ústředním vládám týkající se podpůrných úvěrů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ústředním vládám – pomyslná hodnota/nominální hodnota</w:t>
            </w:r>
          </w:p>
          <w:p w14:paraId="7A0E36C1" w14:textId="77777777" w:rsidR="006E4F4E" w:rsidRDefault="001E5A9A" w:rsidP="000B66BC">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ústředním vládám</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lastRenderedPageBreak/>
              <w:t>Zohlední se rovněž nominální hodnoty útvaru instituce, k němuž příslušný orgán přistupuje jako k veřejné rozvojové úvěrové instituci podle čl. 429a odst. 2 posledního pododstavce.</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Podpůrné úvěry – pohledávky vůči regionálním vládám – rozvahová hodnota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regionálním vládám týkající se podpůrných úvěrů</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regionálním vládám – pomyslná hodnota/nominální hodnota</w:t>
            </w:r>
          </w:p>
          <w:p w14:paraId="645C841D" w14:textId="1E4EDCB5" w:rsidR="006918E9" w:rsidRDefault="001943A2" w:rsidP="000B66BC">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regionálním vládám</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Podpůrné úvěry – pohledávky vůči místním orgánům – rozvahová hodnota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místním orgánům týkající se podpůrných úvěrů</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místním orgánům – pomyslná hodnota/nominální hodnota</w:t>
            </w:r>
          </w:p>
          <w:p w14:paraId="38BCF0DC" w14:textId="6D975688" w:rsidR="006918E9" w:rsidRDefault="001943A2" w:rsidP="000B66BC">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místním orgánům</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Podpůrné úvěry – pohledávky vůči subjektům veřejného sektoru – rozvahová hodnota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subjektům veřejného sektoru týkající se podpůrných úvěrů</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subjektům veřejného sektoru – pomyslná hodnota/nominální hodnota</w:t>
            </w:r>
          </w:p>
          <w:p w14:paraId="5C047141" w14:textId="77777777" w:rsidR="006918E9" w:rsidRDefault="001943A2" w:rsidP="006918E9">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subjektům veřejného sektoru</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nefinančním podnikům – rozvahová hodnota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nefinančním podnikům týkající se podpůrných úvěrů</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nefinančním podnikům – pomyslná hodnota/nominální hodnota</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nefinančním podnikům</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domácnostem – rozvahová hodnota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Je-li instituce veřejnou rozvojovou úvěrovou institucí, rozvahová hodnota podle použitelného účetního rámce u aktiv, která představují pohledávky vůči domácnostem týkající se podpůrných úvěrů</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Zohlední se rovněž rozvahové hodnoty útvaru instituce, k němuž příslušný orgán přistupuje jako k veřejné rozvojové úvěrové instituci podle čl. 429a odst. 2 posledního pododstavce.</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Podpůrné úvěry – pohledávky vůči domácnostem – pomyslná hodnota/nominální hodnota</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sz w:val="24"/>
              </w:rPr>
              <w:t>Je-li instituce veřejnou rozvojovou úvěrovou institucí, nominální hodnota podrozvahových položek týkajících se nečerpané části podpůrných úvěrů poskytnutých domácnostem</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sz w:val="24"/>
              </w:rPr>
              <w:t>Podpůrné úvěry – postoupení – rozvahová hodnota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Je-li instituce veřejnou rozvojovou úvěrovou institucí, rozvahová hodnota podle použitelného účetního rámce u postoupení podpůrných úvěrů, pokud podpůrné úvěry neposkytla samotná instituce</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rozvahové hodnoty útvaru instituce, k němuž příslušný orgán přistupuje jako k veřejné rozvojové úvěrové instituci podle čl. 429a odst. 2 posledního pododstavce.</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sz w:val="24"/>
              </w:rPr>
              <w:t>Podpůrné úvěry – postoupení – pomyslná hodnota/nominální hodnota</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Je-li instituce veřejnou rozvojovou úvěrovou institucí, nominální hodnota podrozvahových položek týkajících se nečerpané části postoupených podpůrných úvěrů, pokud podpůrné úvěry neposkytla samotná instituce</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Zohlední se rovněž nominální hodnoty útvaru instituce, k němuž příslušný orgán přistupuje jako k veřejné rozvojové úvěrové instituci podle čl. 429a odst. 2 posledního pododstavce.</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sz w:val="24"/>
              </w:rPr>
              <w:t>Expozice vůči centrálním bankám – rozvahová hodnota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V souladu s použitelným účetním rámcem vykazují instituce hodnotu těchto expozic vůči své centrální bance: i) mince a bankovky představující zákonné platidlo v jurisdikci centrální banky; </w:t>
            </w:r>
            <w:proofErr w:type="spellStart"/>
            <w:r>
              <w:rPr>
                <w:rFonts w:ascii="Times New Roman" w:hAnsi="Times New Roman"/>
                <w:sz w:val="24"/>
              </w:rPr>
              <w:t>ii</w:t>
            </w:r>
            <w:proofErr w:type="spellEnd"/>
            <w:r>
              <w:rPr>
                <w:rFonts w:ascii="Times New Roman" w:hAnsi="Times New Roman"/>
                <w:sz w:val="24"/>
              </w:rPr>
              <w:t>) aktiva představující pohledávky vůči centrální bance, včetně rezerv držených u centrální banky.</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Instituce zahrnou pouze expozice, které splňují obě tyto podmínky: a) jsou denominovány v téže měně jako vklady přijímané institucí; b) jejich průměrná splatnost nepřesahuje výraznou měrou průměrnou splatnost vkladů přijímaných institucí.</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tyto expozice bez ohledu na to, zda jsou vyňaty z celkové míry expozic podle čl. 429a odst. 5 a 6 nařízení (EU) č.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Hodnota expozic vůči centrálním bankám použitá při výpočtu požadavku na upravený pákový poměr podle čl. 429a odst. 7 CRR – objem expozice pákového poměru</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sz w:val="24"/>
              </w:rPr>
              <w:t>Denní průměrná celková hodnota expozic dané instituce vůči její centrální bance, které jsou způsobilé k vyloučení v souladu s čl. 429a odst. 1 písm. n) nařízení (EU) č. 575/2013, vypočtená za úplné udržovací období centrální banky přímo předcházející datu uvedenému v čl. 429a odst. 5 písm. c) nařízení (EU) č.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Míra expozice pákového poměru použitá při výpočtu požadavku na upravený pákový poměr podle čl. 429a odst. 7 CRR – objem expozice pákového poměru</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Celková míra expozice dané instituce podle čl. 429 odst. 4 nařízení (EU) č. 575/2013, včetně expozic vyloučených v souladu s čl. 429 odst. 1 písm. n) nařízení (EU) č. 575/2013, ke dni uvedenému v čl. 429a odst. 5 písm. c) nařízení (EU) č.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Aktiva celkem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Instituce vykazují v této položce celková aktiva podle rozsahu použitého ve zveřejněné účetní závěrce.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4035851"/>
      <w:bookmarkStart w:id="73" w:name="_Toc322533879"/>
      <w:bookmarkEnd w:id="57"/>
      <w:bookmarkEnd w:id="65"/>
      <w:bookmarkEnd w:id="66"/>
      <w:bookmarkEnd w:id="67"/>
      <w:r>
        <w:rPr>
          <w:rFonts w:ascii="Times New Roman" w:hAnsi="Times New Roman"/>
          <w:b/>
          <w:sz w:val="24"/>
        </w:rPr>
        <w:t>5.</w:t>
      </w:r>
      <w:r>
        <w:tab/>
      </w:r>
      <w:r>
        <w:rPr>
          <w:rFonts w:ascii="Times New Roman" w:hAnsi="Times New Roman"/>
          <w:b/>
          <w:sz w:val="24"/>
        </w:rPr>
        <w:t>C 43.00 – Alternativní členění složek míry expozice pákového poměru</w:t>
      </w:r>
      <w:bookmarkEnd w:id="68"/>
      <w:bookmarkEnd w:id="69"/>
      <w:bookmarkEnd w:id="70"/>
      <w:r>
        <w:rPr>
          <w:rFonts w:ascii="Times New Roman" w:hAnsi="Times New Roman"/>
          <w:b/>
          <w:sz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 xml:space="preserve">Instituce vykazují v šabloně LR4 hodnoty expozice pákového poměru po uplatnění vynětí a odpočtů v šabloně </w:t>
      </w:r>
      <w:proofErr w:type="spellStart"/>
      <w:r>
        <w:rPr>
          <w:rFonts w:ascii="Times New Roman" w:hAnsi="Times New Roman"/>
          <w:sz w:val="24"/>
        </w:rPr>
        <w:t>LRCalc</w:t>
      </w:r>
      <w:proofErr w:type="spellEnd"/>
      <w:r>
        <w:rPr>
          <w:rFonts w:ascii="Times New Roman" w:hAnsi="Times New Roman"/>
          <w:sz w:val="24"/>
        </w:rPr>
        <w:t>, tj. položek se záporným znaménkem v souladu s konvencí v oblasti znamének v části I bodu 9 této přílohy vyjma řádky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tab/>
      </w:r>
      <w:r>
        <w:rPr>
          <w:rFonts w:ascii="Times New Roman" w:hAnsi="Times New Roman"/>
          <w:sz w:val="24"/>
        </w:rPr>
        <w:t>Aby zamezily dvojímu vykázání, řídí se instituce následující rovnicí:</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r>
        <w:rPr>
          <w:rFonts w:ascii="Times New Roman" w:hAnsi="Times New Roman"/>
          <w:sz w:val="24"/>
        </w:rPr>
        <w:t xml:space="preserve">Součet všech řádků od {0010; 0010} do {0269;0010} v šabloně </w:t>
      </w:r>
      <w:proofErr w:type="spellStart"/>
      <w:r>
        <w:rPr>
          <w:rFonts w:ascii="Times New Roman" w:hAnsi="Times New Roman"/>
          <w:sz w:val="24"/>
        </w:rPr>
        <w:t>LRCalc</w:t>
      </w:r>
      <w:proofErr w:type="spellEnd"/>
      <w:r>
        <w:rPr>
          <w:rFonts w:ascii="Times New Roman" w:hAnsi="Times New Roman"/>
          <w:sz w:val="24"/>
        </w:rPr>
        <w:t xml:space="preserve"> se rovná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K zajištění souladu s hodnotami expozice pákového poměru se objemy rizikově vážených expozic vykazují také s použitím plně zavedené definice. Pro účely této šablony se nezohledňují úpravy minimálního výstupního prahu.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Instituce vykazují protistranu ve vztahu k objemu rizikově vážené expozice po dopadu technik snižování úvěrového rizika (CRM), včetně substitučních účinků. Ve vztahu </w:t>
      </w:r>
      <w:r>
        <w:rPr>
          <w:rFonts w:ascii="Times New Roman" w:hAnsi="Times New Roman"/>
          <w:sz w:val="24"/>
        </w:rPr>
        <w:lastRenderedPageBreak/>
        <w:t xml:space="preserve">k expozici pákového poměru instituce vykazují protistranu v souladu s původní protistranou, tj. bez zohlednění dopadu snižování úvěrového rizika nebo substitučních účinků použitelných na objem rizikově vážené expozice.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Řádek a sloupec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Odkazy na právní předpisy a pokyny</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Podrozvahové položky – hodnota expozice pákového poměru</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vypočtená jako součet {LRCalc;0150;0010}, {LRCalc;0160;0010}, {LRCalc;0165;0010} {LRCalc;0170;0010} a {LRCalc;0180;0010} s vyloučením příslušných expozic uvnitř skupiny (na individuálním základě) vyňatých v souladu s čl. 429a odst. 1 písm. c) a ca) nařízení (EU) č.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Podrozvahové položky – objem rizikově vážené expozice</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Objem rizikově vážené expozice podrozvahových položek – s výjimkou transakcí SFT a derivátů – vypočtený podle standardizovaného přístupu a přístupu IRB. Pro expozice podle standardizovaného přístupu </w:t>
            </w:r>
            <w:proofErr w:type="gramStart"/>
            <w:r>
              <w:rPr>
                <w:rFonts w:ascii="Times New Roman" w:hAnsi="Times New Roman"/>
                <w:sz w:val="24"/>
              </w:rPr>
              <w:t>určí</w:t>
            </w:r>
            <w:proofErr w:type="gramEnd"/>
            <w:r>
              <w:rPr>
                <w:rFonts w:ascii="Times New Roman" w:hAnsi="Times New Roman"/>
                <w:sz w:val="24"/>
              </w:rPr>
              <w:t xml:space="preserve"> instituce objem rizikově vážené expozice v souladu s částí třetí hlavou II kapitolou 2 nařízení (EU) č. 575/2013. Pro expozice podle přístupu IRB </w:t>
            </w:r>
            <w:proofErr w:type="gramStart"/>
            <w:r>
              <w:rPr>
                <w:rFonts w:ascii="Times New Roman" w:hAnsi="Times New Roman"/>
                <w:sz w:val="24"/>
              </w:rPr>
              <w:t>určí</w:t>
            </w:r>
            <w:proofErr w:type="gramEnd"/>
            <w:r>
              <w:rPr>
                <w:rFonts w:ascii="Times New Roman" w:hAnsi="Times New Roman"/>
                <w:sz w:val="24"/>
              </w:rPr>
              <w:t xml:space="preserve"> instituce objem rizikově vážené expozice v souladu s částí třetí hlavou II kapitolou 3 nařízení (EU) č.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Z toho: financování obchodu – hodnota expozice pákového poměru</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podrozvahových položek týkajících se financování obchodu</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Pro účely vykazování údajů v šabloně LR4 se podrozvahové položky týkající se financování obchodu musí vztahovat k poskytnutým a potvrzeným vývozním a dovozním akreditivům, které jsou krátkodobé a </w:t>
            </w:r>
            <w:proofErr w:type="spellStart"/>
            <w:r>
              <w:rPr>
                <w:rFonts w:ascii="Times New Roman" w:hAnsi="Times New Roman"/>
                <w:sz w:val="24"/>
              </w:rPr>
              <w:t>samolikvidující</w:t>
            </w:r>
            <w:proofErr w:type="spellEnd"/>
            <w:r>
              <w:rPr>
                <w:rFonts w:ascii="Times New Roman" w:hAnsi="Times New Roman"/>
                <w:sz w:val="24"/>
              </w:rPr>
              <w:t>, a obdobným transakcím.</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Z toho: financování obchodu – objem rizikově vážené expozice</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Hodnota rizikově vážené expozice podrozvahových položek – s výjimkou transakcí SFT a derivátů – týkajících se financování obchodu</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Pro účely vykazování údajů v šabloně LR4 se podrozvahové položky týkající se financování obchodu musí vztahovat k poskytnutým a potvrzeným vývozním a dovozním akreditivům, které jsou krátkodobé a </w:t>
            </w:r>
            <w:proofErr w:type="spellStart"/>
            <w:r>
              <w:rPr>
                <w:rFonts w:ascii="Times New Roman" w:hAnsi="Times New Roman"/>
                <w:sz w:val="24"/>
              </w:rPr>
              <w:t>samolikvidující</w:t>
            </w:r>
            <w:proofErr w:type="spellEnd"/>
            <w:r>
              <w:rPr>
                <w:rFonts w:ascii="Times New Roman" w:hAnsi="Times New Roman"/>
                <w:sz w:val="24"/>
              </w:rPr>
              <w:t>, a obdobným transakcím.</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hodnota expozice pákového poměru</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lastRenderedPageBreak/>
              <w:t>Hodnota expozice pákového poměru u podrozvahových položek týkajících se financování obchodu v rámci oficiálního režimu pojištění vývozních úvěrů</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objem rizikově vážené expozice</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Hodnota rizikově vážené expozice podrozvahových položek – s výjimkou transakcí SFT a derivátů – týkajících se financování obchodu v rámci oficiálního režimu pojištění vývozních úvěrů</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a transakce SFT, na něž se vztahuje dohoda o křížovém započtení – hodnota expozice pákového poměru</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Hodnota expozice pákového poměru u derivátů a transakcí SFT, pokud podléhají dohodě o křížovém započtení dle definice v čl. 272 bodě 25 nařízení (EU) č.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a transakce SFT, na něž se vztahuje dohoda o křížovém započtení – objem rizikově vážené expozice</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vůči úvěrovému riziku a úvěrovému riziku protistrany vypočtený podle části třetí hlavy II nařízení (EU) č. 575/2013 u derivátů a transakcí SFT včetně podrozvahových, pokud podléhají dohodě o křížovém započtení dle definice v čl. 272 bodě 25 nařízení (EU) č.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na něž se nevztahuje dohoda o křížovém započtení – hodnota expozice pákového poměru</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Hodnota expozice pákového poměru u derivátů, pokud nepodléhají dohodě o křížovém započtení dle definice v čl. 272 bodě 25 nařízení (EU) č.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Deriváty, na něž se nevztahuje dohoda o křížovém započtení – objem rizikově vážené expozice</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Objem rizikově vážené expozice vůči úvěrovému riziku a úvěrovému riziku protistrany vypočtený podle části třetí hlavy II nařízení (EU) č. 575/2013u derivátů včetně podrozvahových, pokud nepodléhají dohodě o křížovém započtení dle definice v čl. 272 bodě 25 nařízení (EU) č.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Transakce SFT, na něž se nevztahuje dohoda o křížovém započtení – hodnota expozice pákového poměru</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Hodnota expozice pákového poměru u transakcí SFT, pokud nepodléhají dohodě o křížovém započtení dle definice v čl. 272 bodě 25 nařízení (EU) č.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Transakce SFT, na něž se nevztahuje dohoda o křížovém započtení – objem rizikově vážené expozice</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Objem rizikově vážené expozice vůči úvěrovému riziku a úvěrovému riziku protistrany vypočtený podle části třetí hlavy II nařízení (EU) č. 575/2013 u transakcí SFT včetně podrozvahových, pokud nepodléhají dohodě o křížovém započtení dle definice v čl. 272 bodě 25 nařízení (EU) č.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Objem expozice vyplývající z doplňujících úprav u úvěrových derivátů – hodnota expozice pákového poměru</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Tato buňka se rovná rozdílu mezi {LRCalc;0130;0010} a {LRCalc;0140;0010} s vyloučením příslušných expozic uvnitř skupiny (na individuálním základě) vyňatých v souladu s čl. 429a odst. 1 písm. c) nařízení (EU) č.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Ostatní aktiva obchodního portfolia – hodnota expozice pákového poměru</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položek vykázaných v buňce {LRCalc;0190;0010} s vyloučením položek investičního portfolia</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Ostatní aktiva obchodního portfolia – objem rizikově vážené expozice</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Kapitálové požadavky k položkám podle části třetí hlavy IV nařízení (EU) č. 575/2013 násobené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Kryté dluhopisy – hodnota expozice pákového poměru – expozice podle standardizovaného přístupu</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 krytých dluhopisech dle vymezení v článku 129 nařízení (EU) č.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Instituce vykazují čistou výši po odečtení expozic podle standardizovaného přístupu, které jsou v selhání.</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Kryté dluhopisy – hodnota expozice pákového poměru – expozice podle přístupu IRB</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 krytých dluhopisech dle vymezení v čl. 161 odst. 1 písm. d) nařízení (EU) č.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Kryté dluhopisy – objem rizikově vážené expozice – expozice podle standardizovaného přístupu</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 krytých dluhopisech podle článku 129 nařízení (EU) č.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Kryté dluhopisy – objem rizikově vážené expozice – expozice podle přístupu IRB</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 krytých dluhopisech podle čl. 161 odst. 1 písm. d) nařízení (EU) č.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považované za expozice vůči suverénním subjektům – hodnota expozice pákového poměru – expozice podle standardizovaného přístupu</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{0100,0010} až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považované za expozice vůči suverénním subjektům – hodnota expozice pákového poměru – expozice podle přístupu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{0100,0020} až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považované za expozice vůči suverénním subjektům – objem rizikově vážené expozice – expozice podle standardizovaného přístupu</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{0100,0030} až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považované za expozice vůči suverénním subjektům – objem rizikově vážené expozice – expozice podle přístupu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{0100,0040} až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Ústřední vlády a centrální banky</w:t>
            </w:r>
            <w:r>
              <w:rPr>
                <w:rFonts w:ascii="Times New Roman" w:hAnsi="Times New Roman"/>
                <w:sz w:val="24"/>
              </w:rPr>
              <w:t xml:space="preserve"> – </w:t>
            </w:r>
            <w:r>
              <w:rPr>
                <w:rFonts w:ascii="Times New Roman" w:hAnsi="Times New Roman"/>
                <w:b/>
                <w:sz w:val="24"/>
              </w:rPr>
              <w:t>hodnota expozice pákového poměru – expozice podle standardizovaného přístupu</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ústředním vládám nebo centrálním bankám dle vymezení v článku 114 nařízení (EU) č.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Ústřední vlády a centrální banky – hodnota expozice pákového poměru – expozice podle přístupu IRB</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ústředním vládám nebo centrálním bankám dle vymezení v čl. 147 odst. 2 písm. a) nařízení (EU) č.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Ústřední vlády a centrální banky</w:t>
            </w:r>
            <w:r>
              <w:rPr>
                <w:rFonts w:ascii="Times New Roman" w:hAnsi="Times New Roman"/>
                <w:sz w:val="24"/>
              </w:rPr>
              <w:t xml:space="preserve"> </w:t>
            </w:r>
            <w:r>
              <w:rPr>
                <w:rFonts w:ascii="Times New Roman" w:hAnsi="Times New Roman"/>
                <w:b/>
                <w:sz w:val="24"/>
              </w:rPr>
              <w:t>– objem rizikově vážené expozice – expozice podle standardizovaného přístupu</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ústředním vládám nebo centrálním bankám dle vymezení v článku 114 nařízení (EU) č.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Ústřední vlády a centrální banky</w:t>
            </w:r>
            <w:r>
              <w:rPr>
                <w:rFonts w:ascii="Times New Roman" w:hAnsi="Times New Roman"/>
                <w:sz w:val="24"/>
              </w:rPr>
              <w:t xml:space="preserve"> – objem </w:t>
            </w:r>
            <w:r>
              <w:rPr>
                <w:rFonts w:ascii="Times New Roman" w:hAnsi="Times New Roman"/>
                <w:b/>
                <w:sz w:val="24"/>
              </w:rPr>
              <w:t>rizikově vážené expozice – expozice podle přístupu IRB</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Objem rizikově vážené expozice aktiv, která jsou expozicemi podle přístupu IRB vůči ústředním vládám nebo centrálním bankám dle vymezení v čl. 147 odst. 2 písm. a) nařízení (EU) č.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považované za suverénní subjekty – hodnota expozice pákového poměru – expozice podle standardizovaného přístupu</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regionálním vládám a místním orgánům považovaným za suverénní subjekty, pro něž platí čl. 115 odst. 2 a 4 nařízení (EU) č.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považované za suverénní subjekty – hodnota expozice pákového poměru – expozice podle přístupu IRB</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Hodnota expozice pákového poměru u aktiv, která jsou expozicemi podle přístupu IRB vůči regionálním vládám a místním orgánům, pro něž platí čl. 147 odst. 3 písm. a) nařízení (EU) č.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považované za suverénní subjekty – objem rizikově vážené expozice – expozice podle standardizovaného přístupu</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regionálním vládám a místním orgánům považovaným za suverénní subjekty, pro něž platí čl. 115 odst. 2 a 4 nařízení (EU) č.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považované za suverénní subjekty – objem rizikově vážené expozice – expozice podle přístupu IRB</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regionálním vládám a místním orgánům, pro něž platí čl. 147 odst. 3 písm. a) nařízení (EU) č.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Mezinárodní rozvojové banky a mezinárodní organizace považované za suverénní subjekty – hodnota expozice pákového poměru – expozice podle standardizovaného přístupu</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mezinárodním rozvojovým bankám a mezinárodním organizacím, pro něž platí čl. 117 odst. 2 a článek 118 nařízení (EU) č.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Mezinárodní rozvojové banky a mezinárodní organizace považované za suverénní subjekty – hodnota expozice pákového poměru – expozice podle přístupu IRB</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mezinárodním rozvojovým bankám a mezinárodním organizacím, pro něž platí čl. 147 odst. 3 písm. b) a c) nařízení (EU) č.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Mezinárodní rozvojové banky a mezinárodní organizace považované za suverénní subjekty – objem rizikově vážené expozice – expozice podle standardizovaného přístupu</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mezinárodním rozvojovým bankám a mezinárodním organizacím, pro něž platí čl. 117 odst. 2 a článek 118 nařízení (EU) č.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Mezinárodní rozvojové banky a mezinárodní organizace považované za suverénní subjekty – objem rizikově vážené expozice – expozice podle přístupu IRB</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mezinárodním rozvojovým bankám a mezinárodním organizacím, pro něž platí čl. 147 odst. 3 písm. b) a c) nařízení (EU) č.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Subjekty veřejného sektoru považované za suverénní subjekty – hodnota expozice pákového poměru – expozice podle standardizovaného přístupu</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subjektům veřejného sektoru, pro něž platí čl. 116 odst. 4 nařízení (EU) č.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Subjekty veřejného sektoru považované za suverénní subjekty – hodnota expozice pákového poměru – expozice podle přístupu IRB</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expozice pákového poměru u aktiv, která jsou expozicemi podle přístupu IRB vůči subjektům veřejného sektoru, pro něž platí čl. 147 odst. 3 písm. a) nařízení (EU) č.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Subjekty veřejného sektoru považované za suverénní subjekty – objem rizikově vážené expozice – expozice podle standardizovaného přístupu</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subjektům veřejného sektoru, pro něž platí čl. 116 odst. 4 nařízení (EU) č.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Subjekty veřejného sektoru považované za suverénní subjekty – objem rizikově vážené expozice – expozice podle přístupu IRB</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subjektům veřejného sektoru, pro něž platí čl. 147 odst. 3 písm. a) nařízení (EU) č.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regionálním vládám, mezinárodním rozvojovým bankám, mezinárodním organizacím a subjektům veřejného sektoru nepovažovaným za suverénní subjekty – hodnota expozice pákového poměru – expozice podle standardizovaného přístupu</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{0150,0010} až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regionálním vládám, mezinárodním rozvojovým bankám, mezinárodním organizacím a subjektům veřejného sektoru nepovažovaným za suverénní subjekty – hodnota expozice pákového poměru – expozice podle přístupu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{0150,0020} až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regionálním vládám, mezinárodním rozvojovým bankám, mezinárodním organizacím a subjektům veřejného sektoru nepovažovaným za suverénní subjekty – objem rizikově vážené expozice – expozice podle standardizovaného přístupu</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{0150,0030} až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regionálním vládám, mezinárodním rozvojovým bankám, mezinárodním organizacím a subjektům veřejného sektoru nepovažovaným za suverénní subjekty – objem rizikově vážené expozice – expozice podle přístupu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{0150,0040} až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nepovažované za suverénní subjekty – hodnota expozice pákového poměru – expozice podle standardizovaného přístupu</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regionálním vládám a místním orgánům nepovažovaným za suverénní subjekty, pro něž platí čl. 115 odst. 1, 3 a 5 nařízení (EU) č.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nepovažované za suverénní subjekty – hodnota expozice pákového poměru – expozice podle přístupu IRB</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regionálním vládám a místním orgánům nepovažovaným za suverénní subjekty, pro něž platí čl. 147 odst. 4 písm. a) nařízení (EU) č.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Instituce vykazují čistou výši po odečtení expozic podle přístupu IRB, které jsou v selhání.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Regionální vlády a místní orgány nepovažované za suverénní subjekty – objem rizikově vážené expozice – expozice podle standardizovaného přístupu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regionálním vládám a místním orgánům nepovažovaným za suverénní subjekty, pro něž platí čl. 115 odst. 1, 3 a 5 nařízení (EU) č.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Regionální vlády a místní orgány nepovažované za suverénní subjekty – objem rizikově vážené expozice – expozice podle přístupu IRB</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regionálním vládám a místním orgánům nepovažovaným za suverénní subjekty, pro něž platí čl. 147 odst. 4 písm. a) nařízení (EU) č.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Mezinárodní rozvojové banky </w:t>
            </w:r>
            <w:r>
              <w:rPr>
                <w:rFonts w:ascii="Times New Roman" w:hAnsi="Times New Roman"/>
                <w:b/>
                <w:sz w:val="24"/>
                <w:u w:val="single"/>
              </w:rPr>
              <w:t>nepovažované</w:t>
            </w:r>
            <w:r>
              <w:rPr>
                <w:rFonts w:ascii="Times New Roman" w:hAnsi="Times New Roman"/>
                <w:b/>
                <w:sz w:val="24"/>
              </w:rPr>
              <w:t xml:space="preserve"> za suverénní subjekty – hodnota expozice pákového poměru – expozice podle standardizovaného přístupu</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mezinárodním rozvojovým bankám, pro něž platí čl. 117 odst. 1 a 3 nařízení (EU) č.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Mezinárodní rozvojové banky </w:t>
            </w:r>
            <w:r>
              <w:rPr>
                <w:rFonts w:ascii="Times New Roman" w:hAnsi="Times New Roman"/>
                <w:b/>
                <w:sz w:val="24"/>
                <w:u w:val="single"/>
              </w:rPr>
              <w:t>nepovažované</w:t>
            </w:r>
            <w:r>
              <w:rPr>
                <w:rFonts w:ascii="Times New Roman" w:hAnsi="Times New Roman"/>
                <w:b/>
                <w:sz w:val="24"/>
              </w:rPr>
              <w:t xml:space="preserve"> za suverénní subjekty – hodnota expozice pákového poměru – expozice podle přístupu IRB</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mezinárodním rozvojovým bankám nepovažovaným za suverénní subjekty, pro něž platí čl. 147 odst. 4 písm. c) nařízení (EU) č.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Mezinárodní rozvojové banky nepovažované za suverénní subjekty – objem rizikově vážené expozice – expozice podle standardizovaného přístupu</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Objem rizikově vážené expozice aktiv, která jsou expozicemi podle standardizovaného přístupu vůči mezinárodním rozvojovým bankám, pro něž platí čl. 117 odst. 1 a 3 nařízení (EU) č.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Mezinárodní rozvojové banky nepovažované za suverénní subjekty – objem rizikově vážené expozice – expozice podle přístupu IRB</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mezinárodním rozvojovým bankám nepovažovaným za suverénní subjekty, pro něž platí čl. 147 odst. 4 písm. c) nařízení (EU) č.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Subjekty veřejného sektoru nepovažované za suverénní subjekty – hodnota expozice pákového poměru – expozice podle standardizovaného přístupu</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subjektům veřejného sektoru, pro něž platí čl. 116 odst. 1, 2, 3 a 5 nařízení (EU) č.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Subjekty veřejného sektoru nepovažované za suverénní subjekty – hodnota expozice pákového poměru – expozice podle přístupu IRB</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subjektům veřejného sektoru nepovažovaným za suverénní subjekty, pro něž platí čl. 147 odst. 4 písm. b) nařízení (EU) č.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Subjekty veřejného sektoru nepovažované za suverénní subjekty – objem rizikově vážené expozice – expozice podle standardizovaného přístupu</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Objem rizikově vážené expozice aktiv, která jsou expozicemi podle standardizovaného přístupu vůči subjektům veřejného sektoru, pro něž platí čl. 116 odst. 1, 2, 3 a 5 nařízení (EU) č.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Subjekty veřejného sektoru nepovažované za suverénní subjekty – objem rizikově vážené expozice – expozice podle přístupu IRB</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subjektům veřejného sektoru nepovažovaným za suverénní subjekty, pro něž platí čl. 147 odst. 4 písm. b) nařízení (EU) č.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Instituce – hodnota expozice pákového poměru – expozice podle standardizovaného přístupu</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institucím, pro něž platí články 119 až 121 nařízení (EU) č.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53F2932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Instituce</w:t>
            </w:r>
            <w:r w:rsidR="00C9270D">
              <w:rPr>
                <w:rFonts w:ascii="Times New Roman" w:hAnsi="Times New Roman"/>
                <w:b/>
                <w:sz w:val="24"/>
              </w:rPr>
              <w:t xml:space="preserve"> </w:t>
            </w:r>
            <w:r>
              <w:rPr>
                <w:rFonts w:ascii="Times New Roman" w:hAnsi="Times New Roman"/>
                <w:b/>
                <w:sz w:val="24"/>
              </w:rPr>
              <w:t>– hodnota expozice pákového poměru – expozice podle přístupu IRB</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Hodnota expozice pákového poměru u aktiv, která jsou expozicemi podle přístupu IRB vůči institucím podle čl. 147 odst. 2 písm. b) nařízení (EU) č. 575/2013, nejsou expozicemi v krytých dluhopisech podle čl. 161 odst. 1 písm. d) nařízení (EU) č. 575/2013 a nejsou expozicemi podle čl. 147 odst. 4 písm. c) nařízení (EU) č.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Instituce – objem rizikově vážené expozice – expozice podle standardizovaného přístupu</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institucím, pro něž platí články 119 až 121 nařízení (EU) č.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Instituce – objem rizikově vážené expozice – expozice podle přístupu IRB</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institucím podle čl. 147 odst. 2 písm. b) nařízení (EU) č. 575/2013, nejsou expozicemi v krytých dluhopisech podle čl. 161 odst. 1 písm. d) nařízení (EU) č. 575/2013 a nejsou expozicemi podle čl. 147 odst. 4 písm. c) nařízení (EU) č.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Zajištěné hypotékami na nemovitosti a expozicemi ADC – hodnota expozice pákového poměru – expozice podle standardizovaného přístupu</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zajištěnými hypotékami na nemovitosti a expozicemi ADC, pro něž platí články 124 a 126a nařízení (EU) č.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Zajištěné hypotékami na nemovitosti a expozicemi ADC – hodnota expozice pákového poměru – expozice podle přístupu IRB</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Hodnota expozice pákového poměru u aktiv, která jsou expozicemi podle přístupu IRB vůči podnikům podle čl. 147 odst. 2 písm. c) nebo retailovými expozicemi podle čl. 147 odst. 2 písm. d) </w:t>
            </w:r>
            <w:proofErr w:type="spellStart"/>
            <w:r>
              <w:rPr>
                <w:rFonts w:ascii="Times New Roman" w:hAnsi="Times New Roman"/>
                <w:sz w:val="24"/>
              </w:rPr>
              <w:t>podbodu</w:t>
            </w:r>
            <w:proofErr w:type="spellEnd"/>
            <w:r>
              <w:rPr>
                <w:rFonts w:ascii="Times New Roman" w:hAnsi="Times New Roman"/>
                <w:sz w:val="24"/>
              </w:rPr>
              <w:t xml:space="preserve"> </w:t>
            </w:r>
            <w:proofErr w:type="spellStart"/>
            <w:r>
              <w:rPr>
                <w:rFonts w:ascii="Times New Roman" w:hAnsi="Times New Roman"/>
                <w:sz w:val="24"/>
              </w:rPr>
              <w:t>ii</w:t>
            </w:r>
            <w:proofErr w:type="spellEnd"/>
            <w:r>
              <w:rPr>
                <w:rFonts w:ascii="Times New Roman" w:hAnsi="Times New Roman"/>
                <w:sz w:val="24"/>
              </w:rPr>
              <w:t>) nařízení (EU) č. 575/2013, pokud jsou tyto expozice zajištěny hypotékami na nemovitosti nebo jsou expozicemi ADC v souladu s čl. 199 odst. 1 písm. a) nařízení (EU) č.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Zajištěné hypotékami na nemovitosti a expozicemi ADC – RWEA – expozice podle standardizovaného přístupu</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Objem rizikově vážené expozice aktiv, která jsou expozicemi podle standardizovaného přístupu zajištěnými hypotékami na nemovitosti a expozicemi ADC, pro něž platí články 124 a 126a nařízení (EU) č.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Zajištěné hypotékami na nemovitosti a expozicemi ADC – objem rizikově vážené expozice – expozice podle přístupu IRB</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Objem rizikově vážené expozice aktiv, která jsou expozicemi podle přístupu IRB vůči podnikům podle čl. 147 odst. 2 písm. c) nebo retailovými expozicemi podle čl. 147 odst. 2 písm. d) </w:t>
            </w:r>
            <w:proofErr w:type="spellStart"/>
            <w:r>
              <w:rPr>
                <w:rFonts w:ascii="Times New Roman" w:hAnsi="Times New Roman"/>
                <w:sz w:val="24"/>
              </w:rPr>
              <w:t>podbodu</w:t>
            </w:r>
            <w:proofErr w:type="spellEnd"/>
            <w:r>
              <w:rPr>
                <w:rFonts w:ascii="Times New Roman" w:hAnsi="Times New Roman"/>
                <w:sz w:val="24"/>
              </w:rPr>
              <w:t xml:space="preserve"> </w:t>
            </w:r>
            <w:proofErr w:type="spellStart"/>
            <w:r>
              <w:rPr>
                <w:rFonts w:ascii="Times New Roman" w:hAnsi="Times New Roman"/>
                <w:sz w:val="24"/>
              </w:rPr>
              <w:t>ii</w:t>
            </w:r>
            <w:proofErr w:type="spellEnd"/>
            <w:r>
              <w:rPr>
                <w:rFonts w:ascii="Times New Roman" w:hAnsi="Times New Roman"/>
                <w:sz w:val="24"/>
              </w:rPr>
              <w:t>) nařízení (EU) č. 575/2013, pokud jsou tyto expozice zajištěny hypotékami na nemovitosti v souladu s čl. 199 odst. 1 písm. a) nařízení (EU) č. 575/2013. Instituce vykazují čistou výši po odečtení expozic podle přístupu IRB, které jsou v selhání.</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zajištěné hypotékami na obytné nemovitosti – hodnota expozice pákového poměru – expozice podle standardizovaného přístupu</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plně a zcela zajištěnými hypotékami na obytné nemovitosti, pro něž platí článek 125 nařízení (EU) č.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Z toho: zajištěné hypotékami na obytné nemovitosti – hodnota expozice pákového poměru – expozice podle přístupu IRB</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Hodnota expozice pákového poměru u aktiv, která jsou expozicemi podle přístupu IRB vůči podnikům podle čl. 147 odst. 2 písm. c) nebo retailovými expozicemi podle čl. 147 odst. 2 písm. d) </w:t>
            </w:r>
            <w:proofErr w:type="spellStart"/>
            <w:r>
              <w:rPr>
                <w:rFonts w:ascii="Times New Roman" w:hAnsi="Times New Roman"/>
                <w:sz w:val="24"/>
              </w:rPr>
              <w:t>podbodu</w:t>
            </w:r>
            <w:proofErr w:type="spellEnd"/>
            <w:r>
              <w:rPr>
                <w:rFonts w:ascii="Times New Roman" w:hAnsi="Times New Roman"/>
                <w:sz w:val="24"/>
              </w:rPr>
              <w:t xml:space="preserve"> </w:t>
            </w:r>
            <w:proofErr w:type="spellStart"/>
            <w:r>
              <w:rPr>
                <w:rFonts w:ascii="Times New Roman" w:hAnsi="Times New Roman"/>
                <w:sz w:val="24"/>
              </w:rPr>
              <w:t>ii</w:t>
            </w:r>
            <w:proofErr w:type="spellEnd"/>
            <w:r>
              <w:rPr>
                <w:rFonts w:ascii="Times New Roman" w:hAnsi="Times New Roman"/>
                <w:sz w:val="24"/>
              </w:rPr>
              <w:t>) nařízení (EU) č. 575/2013, pokud jsou tyto expozice zajištěny hypotékami na obytné nemovitosti v souladu s čl. 199 odst. 1 písm. a) nařízení (EU) č.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zajištěné hypotékami na obytné nemovitosti – objem rizikově vážené expozice – expozice podle standardizovaného přístupu</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plně a zcela zajištěnými hypotékami na obytné nemovitosti, pro něž platí článek 125 nařízení (EU) č.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zajištěné hypotékami na obytné nemovitosti – objem rizikově vážené expozice – expozice podle přístupu IRB</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aktiv, která jsou expozicemi podle přístupu IRB vůči podnikům podle čl. 147 odst. 2 písm. c) nebo retailovými expozicemi podle čl. 147 odst. 2 písm. d) </w:t>
            </w:r>
            <w:proofErr w:type="spellStart"/>
            <w:r>
              <w:rPr>
                <w:rFonts w:ascii="Times New Roman" w:hAnsi="Times New Roman"/>
                <w:sz w:val="24"/>
              </w:rPr>
              <w:t>podbodu</w:t>
            </w:r>
            <w:proofErr w:type="spellEnd"/>
            <w:r>
              <w:rPr>
                <w:rFonts w:ascii="Times New Roman" w:hAnsi="Times New Roman"/>
                <w:sz w:val="24"/>
              </w:rPr>
              <w:t xml:space="preserve"> </w:t>
            </w:r>
            <w:proofErr w:type="spellStart"/>
            <w:r>
              <w:rPr>
                <w:rFonts w:ascii="Times New Roman" w:hAnsi="Times New Roman"/>
                <w:sz w:val="24"/>
              </w:rPr>
              <w:t>ii</w:t>
            </w:r>
            <w:proofErr w:type="spellEnd"/>
            <w:r>
              <w:rPr>
                <w:rFonts w:ascii="Times New Roman" w:hAnsi="Times New Roman"/>
                <w:sz w:val="24"/>
              </w:rPr>
              <w:t>) nařízení (EU) č. 575/2013, pokud jsou tyto expozice zajištěny hypotékami na obytné nemovitosti v souladu s čl. 199 odst. 1 písm. a) nařízení (EU) č.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Instituce vykazují čistou výši po odečtení expozic podle přístupu IRB, které jsou v selhání.</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Retailové expozice – hodnota expozice pákového poměru – expozice podle standardizovaného přístupu</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retailovými expozicemi podle standardizovaného přístupu, pro něž platí článek 123 nařízení (EU) č.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Retailové expozice – hodnota expozice pákového poměru – expozice podle přístupu IRB</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Hodnota expozice pákového poměru u aktiv, která jsou retailovými expozicemi podle přístupu IRB podle čl. 147 odst. 2 písm. d) </w:t>
            </w:r>
            <w:proofErr w:type="spellStart"/>
            <w:r>
              <w:rPr>
                <w:rFonts w:ascii="Times New Roman" w:hAnsi="Times New Roman"/>
                <w:sz w:val="24"/>
              </w:rPr>
              <w:t>podbodů</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 iv) nařízení (EU) č. 575/2013, pokud tyto expozice nejsou zajištěny hypotékami na nemovitosti v souladu s čl. 199 odst. 1 písm. a) nařízení (EU) č.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Retailové expozice – objem rizikově vážené expozice – expozice podle standardizovaného přístupu</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retailovými expozicemi podle standardizovaného přístupu, pro něž platí článek 123 nařízení (EU) č.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Retailové expozice – objem rizikově vážené expozice – expozice podle přístupu IRB</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aktiv, která jsou retailovými expozicemi podle přístupu IRB podle čl. 147 odst. 2 písm. d) </w:t>
            </w:r>
            <w:proofErr w:type="spellStart"/>
            <w:r>
              <w:rPr>
                <w:rFonts w:ascii="Times New Roman" w:hAnsi="Times New Roman"/>
                <w:sz w:val="24"/>
              </w:rPr>
              <w:t>podbodů</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 iv) nařízení (EU) č. 575/2013, pokud tyto expozice nejsou zajištěny hypotékami na nemovitosti v souladu s čl. 199 odst. 1 písm. a) nařízení (EU) č.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Z toho: retailové expozice vůči malým a středním podnikům – hodnota expozice pákového poměru – expozice podle standardizovaného přístupu</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Hodnota expozice pákového poměru u aktiv, která jsou retailovými expozicemi podle standardizovaného přístupu vůči malým a středním podnikům, pro něž platí článek 123 nařízení (EU) č.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retailové expozice vůči malým a středním podnikům – hodnota expozice pákového poměru – expozice podle přístupu IRB</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Hodnota expozice pákového poměru u aktiv, která jsou retailovými expozicemi podle přístupu IRB podle čl. 147 odst. 2 písm. d) </w:t>
            </w:r>
            <w:proofErr w:type="spellStart"/>
            <w:r>
              <w:rPr>
                <w:rFonts w:ascii="Times New Roman" w:hAnsi="Times New Roman"/>
                <w:sz w:val="24"/>
              </w:rPr>
              <w:t>podbodů</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 iv) nařízení (EU) č. 575/2013, pokud jsou tyto expozice expozicemi vůči malým a středním podnikům a nejsou zajištěny hypotékami na nemovitosti v souladu s čl. 199 odst. 1 písm. a) nařízení (EU) č.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retailové expozice vůči malým a středním podnikům – objem rizikově vážené expozice – expozice podle standardizovaného přístupu</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retailovými expozicemi podle standardizovaného přístupu vůči malým a středním podnikům, pro něž platí článek 123 nařízení (EU) č.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Z toho: retailové expozice vůči malým a středním podnikům – objem rizikově vážené expozice – expozice podle přístupu IRB</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aktiv, která jsou retailovými expozicemi podle přístupu IRB podle čl. 147 odst. 2 písm. d) </w:t>
            </w:r>
            <w:proofErr w:type="spellStart"/>
            <w:r>
              <w:rPr>
                <w:rFonts w:ascii="Times New Roman" w:hAnsi="Times New Roman"/>
                <w:sz w:val="24"/>
              </w:rPr>
              <w:t>podbodů</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 iv) nařízení (EU) č. 575/2013, pokud jsou tyto expozice expozicemi vůči malým a středním podnikům a nejsou zajištěny hypotékami na nemovitosti v souladu s čl. 199 odst. 1 písm. a) nařízení (EU) č.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Instituce vykazují čistou výši po odečtení expozic podle přístupu IRB, které jsou v selhání.</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Podniky – hodnota expozice pákového poměru – expozice podle standardizovaného přístupu</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Jedná se o součet buněk {0240,0010} a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Podniky – hodnota expozice pákového poměru – expozice podle přístupu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{0240,0020} a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Podniky – objem rizikově vážené expozice – expozice podle standardizovaného přístupu</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{0240,0030} a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Podniky – objem rizikově vážené expozice – expozice podle přístupu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{0240,0040} a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Finanční podniky – hodnota expozice pákového poměru – expozice podle standardizovaného přístupu</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finančním podnikům, pro něž platí článek 122 nařízení (EU) č.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nařízení (EU) č. 575/2013, které nejsou institucemi uvedenými v buňce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Instituce vykazují čistou výši po odečtení expozic podle standardizovaného přístupu, které jsou v selhání.</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Finanční podniky – hodnota expozice pákového poměru – expozice podle přístupu IRB</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finančním podnikům podle čl. 147 odst. 2 písm. c) nařízení (EU) č. 575/2013, pokud tyto expozice nejsou zajištěny hypotékami na nemovitosti v souladu s čl. 199 odst. 1 písm. a) nařízení (EU) č.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nařízení (EU) č. 575/2013, které nejsou institucemi uvedenými v buňce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Finanční podniky – objem rizikově vážené expozice – expozice podle standardizovaného přístupu</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finančním podnikům, pro něž platí článek 122 nařízení (EU) č.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nařízení (EU) č. 575/2013, které nejsou institucemi uvedenými v buňce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Finanční podniky – objem rizikově vážené expozice – expozice podle přístupu IRB</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finančním podnikům podle čl. 147 odst. 2 písm. c) nařízení (EU) č. 575/2013, pokud tyto expozice nejsou zajištěny hypotékami na nemovitosti v souladu s čl. 199 odst. 1 písm. a) nařízení (EU) č.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nařízení (EU) č. 575/2013, které nejsou institucemi uvedenými v buňce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Nefinanční podniky – hodnota expozice pákového poměru – expozice podle standardizovaného přístupu</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nefinančním podnikům, pro něž platí článek 122 nařízení (EU) č.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{0260,0010} a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Nefinanční podniky – hodnota expozice pákového poměru – expozice podle přístupu IRB</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nefinančním podnikům podle čl. 147 odst. 2 písm. c) nařízení (EU) č. 575/2013, pokud tyto expozice nejsou zajištěny hypotékami na nemovitosti v souladu s čl. 199 odst. 1 písm. a) nařízení (EU) č.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{0260,0020} a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Nefinanční podniky – objem rizikově vážené expozice – expozice podle standardizovaného přístupu</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nefinančním podnikům, pro něž platí článek 122 nařízení (EU) č.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{0260,0030} a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Nefinanční podniky – objem rizikově vážené expozice – expozice podle přístupu IRB</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nefinančním podnikům podle čl. 147 odst. 2 písm. c) nařízení (EU) č. 575/2013, pokud tyto expozice nejsou zajištěny hypotékami na nemovitosti v souladu s čl. 199 odst. 1 písm. a) nařízení (EU) č.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Jedná se o součet buněk {0260,0040} a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Expozice vůči malým a středním podnikům – hodnota expozice pákového poměru – expozice podle standardizovaného přístupu</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malým a středním podnikům, pro něž platí článek 122 nařízení (EU) č.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malým a středním podnikům – hodnota expozice pákového poměru – expozice podle přístupu IRB</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podnikům podle čl. 147 odst. 2 písm. c) nařízení (EU) č. 575/2013, pokud jsou tyto expozice expozicemi vůči malým a středním podnikům a nejsou zajištěny hypotékami na nemovitosti v souladu s čl. 199 odst. 1 písm. a) nařízení (EU) č.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Pro účely této buňky používají instituce pojem „malý a střední podnik“, jak je definován v čl. 501 odst. 2 písm. b) nařízení (EU) č.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malým a středním podnikům – objem rizikově vážené expozice – expozice podle standardizovaného přístupu</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malým a středním podnikům, pro něž platí článek 122 nařízení (EU) č.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Pro účely této buňky používají instituce pojem „malý a střední podnik“, jak je definován v čl. 501 odst. 2 písm. b) nařízení (EU) č.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malým a středním podnikům – objem rizikově vážené expozice – expozice podle přístupu IRB</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podnikům podle čl. 147 odst. 2 písm. c) nařízení (EU) č. 575/2013, pokud jsou tyto expozice expozicemi vůči malým a středním podnikům a nejsou zajištěny hypotékami na nemovitosti v souladu s čl. 199 odst. 1 písm. a) nařízení (EU) č.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Pro účely této buňky používají instituce pojem „malý a střední podnik“, jak je definován v čl. 501 odst. 2 písm. b) nařízení (EU) č.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Expozice vůči jiným než malým a středním podnikům – hodnota expozice pákového poměru – expozice podle standardizovaného přístupu</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podnikům, pro něž platí článek 122 nařízení (EU) č. 575/2013 a jež se nevykazují v buňkách {0230;0040} a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jiným než malým a středním podnikům – hodnota expozice pákového poměru – expozice podle přístupu IRB</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Hodnota expozice pákového poměru u aktiv, která jsou expozicemi podle přístupu IRB vůči podnikům podle čl. 147 odst. 2 písm. c) nařízení (EU) č. 575/2013, pokud tyto expozice nejsou zajištěny hypotékami na nemovitosti v souladu s čl. 199 odst. 1 písm. a) nařízení (EU) č. 575/2013 a nevykazují se v buňkách {0230;0040} a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jiným než malým a středním podnikům – objem rizikově vážené expozice – expozice podle standardizovaného přístupu</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aktiv, která jsou expozicemi podle standardizovaného přístupu vůči podnikům, pro něž platí článek 122 </w:t>
            </w:r>
            <w:r>
              <w:rPr>
                <w:rFonts w:ascii="Times New Roman" w:hAnsi="Times New Roman"/>
                <w:sz w:val="24"/>
              </w:rPr>
              <w:lastRenderedPageBreak/>
              <w:t>nařízení (EU) č. 575/2013 a jež se nevykazují v buňkách {0230;0040} a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Expozice vůči jiným než malým a středním podnikům – objem rizikově vážené expozice – expozice podle přístupu IRB</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Objem rizikově vážené expozice aktiv, která jsou expozicemi podle přístupu IRB vůči podnikům podle čl. 147 odst. 2 písm. c) nařízení (EU) č. 575/2013, pokud tyto expozice nejsou zajištěny hypotékami na nemovitosti v souladu s čl. 199 odst. 1 písm. a) nařízení (EU) č. 575/2013 a nevykazují se v buňkách 0230;0040 a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 selhání – hodnota expozice pákového poměru – expozice podle standardizovaného přístupu</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Instituce vykazují hodnotu expozice pákového poměru u aktiv, která jsou expozicemi podle standardizovaného přístupu v selhání, a proto se řídí článkem 127 nařízení (EU) č.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 selhání – hodnota expozice pákového poměru – expozice podle přístupu IRB</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Instituce vykazují hodnotu expozice pákového poměru u aktiv zařazených do kategorií expozic uvedených v čl. 147 odst. 2 nařízení (EU) č. 575/2013, pokud došlo k selhání podle článku 178 nařízení (EU) č.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 selhání – objem rizikově vážené expozice – expozice podle standardizovaného přístupu</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objem rizikově vážené expozice aktiv, která jsou expozicemi v selhání, a proto se řídí článkem 127 nařízení (EU) č.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Expozice v selhání – objem rizikově vážené expozice – expozice podle přístupu IRB</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objem rizikově vážené expozice aktiv zařazených do kategorií expozic uvedených v čl. 147 odst. 2 nařízení (EU) č. 575/2013, pokud došlo k selhání podle článku 178 nařízení (EU) č. 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Jiné expozice – hodnota expozice pákového poměru – expozice podle standardizovaného přístupu</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Hodnota expozice pákového poměru u aktiv zařazených do kategorií expozic uvedených v čl. 112 písm. k), m), n), o), p) a q) nařízení (EU) č.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zde vykazují aktiva, která se odečítají z kapitálu (např. nehmotná aktiva), avšak nemohou být zařazena jinam, i když se toto zařazení pro určení kapitálových požadavků založených na riziku ve sloupcích {*; 0030} a {*; </w:t>
            </w:r>
            <w:proofErr w:type="gramStart"/>
            <w:r>
              <w:rPr>
                <w:rFonts w:ascii="Times New Roman" w:hAnsi="Times New Roman"/>
                <w:sz w:val="24"/>
              </w:rPr>
              <w:t>0040 }</w:t>
            </w:r>
            <w:proofErr w:type="gramEnd"/>
            <w:r>
              <w:rPr>
                <w:rFonts w:ascii="Times New Roman" w:hAnsi="Times New Roman"/>
                <w:sz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Jiné expozice – hodnota expozice pákového poměru – expozice podle přístupu IRB</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expozice pákového poměru u aktiv zařazených do kategorií expozic uvedených v čl. 147 odst. 2 písm. e), e1), f) a g) nařízení (EU) č.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zde vykazují aktiva, která se odečítají z kapitálu (např. nehmotná aktiva), avšak nemohou být zařazena jinam, i když se toto zařazení pro určení kapitálových požadavků založených na riziku ve sloupcích {*; 0030} a {*; </w:t>
            </w:r>
            <w:proofErr w:type="gramStart"/>
            <w:r>
              <w:rPr>
                <w:rFonts w:ascii="Times New Roman" w:hAnsi="Times New Roman"/>
                <w:sz w:val="24"/>
              </w:rPr>
              <w:t>0040 }</w:t>
            </w:r>
            <w:proofErr w:type="gramEnd"/>
            <w:r>
              <w:rPr>
                <w:rFonts w:ascii="Times New Roman" w:hAnsi="Times New Roman"/>
                <w:sz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Jiné expozice – objem rizikově vážené expozice– expozice podle standardizovaného přístupu</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rizikově vážené expozice aktiv zařazených do kategorií expozic uvedených v čl. 112 písm. k), m), n), o), p) a q) nařízení (EU) č.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Jiné expozice – objem rizikově vážené expozice – expozice podle přístupu IRB</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rizikově vážené expozice aktiv zařazených do kategorií expozic uvedených v čl. 147 odst. 2 písm. e), e1) f) a g) nařízení (EU) č.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sekuritizační expozice – hodnota expozice pákového poměru – expozice podle standardizovaného přístupu</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standardizovaného přístupu vůči sekuritizacím podle čl. 112 písm. m) nařízení (EU) č.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Instituce vykazují čistou výši po odečtení expozic podle standardizovaného přístupu, které jsou v selhání.</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sekuritizační expozice – hodnota expozice pákového poměru – expozice podle přístupu IRB</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aktiv, která jsou expozicemi podle přístupu IRB vůči sekuritizacím podle čl. 147 odst. 2 písm. f) nařízení (EU) č.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přístupu IRB, které jsou v selhání.</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sekuritizační expozice – objem rizikově vážené expozice – expozice podle standardizovaného přístupu</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standardizovaného přístupu vůči sekuritizacím podle čl. 112 písm. m) nařízení (EU) č.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sekuritizační expozice – objem rizikově vážené expozice – expozice podle přístupu IRB</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rizikově vážené expozice aktiv, která jsou expozicemi podle přístupu IRB vůči sekuritizacím podle čl. 147 odst. 2 písm. f) nařízení (EU) č.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Financování obchodu (doplňková položka) – hodnota expozice pákového poměru – expozice podle standardizovaného přístupu</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rozvahových položek týkajících se poskytování úvěrů vývozcům nebo dovozcům zboží nebo služeb prostřednictvím dovozních a vývozních úvěrů a obdobných transakcí</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Financování obchodu (doplňková položka) – hodnota expozice pákového poměru – expozice podle přístupu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Objem expozice pákového poměru u rozvahových položek týkajících se poskytování úvěrů vývozcům nebo dovozcům zboží nebo služeb prostřednictvím dovozních a vývozních úvěrů a obdobných transakcí</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Instituce vykazují čistou výši po odečtení expozic podle přístupu IRB, které jsou v selhání.</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Financování obchodu (doplňková položka) – objem rizikově vážené expozice – expozice podle standardizovaného přístupu</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rizikově vážené expozice rozvahových položek týkajících se poskytování úvěrů vývozcům nebo dovozcům zboží nebo služeb prostřednictvím dovozních a vývozních úvěrů a obdobných transakcí</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Financování obchodu (doplňková položka) – objem rizikově vážené expozice – expozice podle přístupu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rizikově vážené expozice rozvahových položek týkajících se poskytování úvěrů vývozcům nebo dovozcům zboží nebo služeb prostřednictvím dovozních a vývozních úvěrů a obdobných transakcí</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hodnota expozice pákového poměru – expozice podle standardizovaného přístupu</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Hodnota expozice pákového poměru u rozvahových položek týkajících se financování obchodu v rámci oficiálního režimu pojištění vývozních úvěrů</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Instituce vykazují čistou výši po odečtení expozic podle standardizovaného přístupu, které jsou v selhání.</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hodnota expozice pákového poměru – expozice podle přístupu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Hodnota expozice pákového poměru u rozvahových položek týkajících se financování obchodu v rámci oficiálního režimu pojištění vývozních úvěrů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w:t>
            </w:r>
            <w:r>
              <w:rPr>
                <w:rFonts w:ascii="Times New Roman" w:hAnsi="Times New Roman"/>
                <w:sz w:val="24"/>
              </w:rPr>
              <w:lastRenderedPageBreak/>
              <w:t>celou dobu trvání úvěru garantována pevná úroková sazba), financování pomoci (úvěry a granty), pojištění vývozních úvěrů a záruk.</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objem rizikově vážené expozice – expozice podle standardizovaného přístupu</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rozvahových položek týkajících se financování obchodu v rámci oficiálního režimu pojištění vývozních úvěrů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standardizovaného přístupu, které jsou v selhání.</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Z toho: v rámci oficiálního režimu pojištění vývozních úvěrů – objem rizikově vážené expozice – expozice podle přístupu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Objem rizikově vážené expozice rozvahových položek týkajících se financování obchodu v rámci oficiálního režimu pojištění vývozních úvěrů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Pro účely vykazování údajů v šabloně LR4 se oficiálním 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Instituce vykazují čistou výši po odečtení expozic podle přístupu IRB, které jsou v selhání.</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4035852"/>
      <w:r>
        <w:rPr>
          <w:rFonts w:ascii="Times New Roman" w:hAnsi="Times New Roman"/>
          <w:b/>
          <w:sz w:val="24"/>
        </w:rPr>
        <w:t>6.</w:t>
      </w:r>
      <w:r>
        <w:tab/>
      </w:r>
      <w:r>
        <w:rPr>
          <w:rFonts w:ascii="Times New Roman" w:hAnsi="Times New Roman"/>
          <w:b/>
          <w:sz w:val="24"/>
        </w:rPr>
        <w:t>C 44.00 – Obecné informace</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Zde jsou sdruženy dodatečné informace týkající se kategorizace činností instituce a regulatorních možností, pro něž se instituce rozhodla.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Řádek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a sloupec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Pokyny</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Podniková struktura instituce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w:t>
            </w:r>
            <w:proofErr w:type="gramStart"/>
            <w:r>
              <w:rPr>
                <w:rFonts w:ascii="Times New Roman" w:hAnsi="Times New Roman"/>
                <w:sz w:val="24"/>
              </w:rPr>
              <w:t>určí</w:t>
            </w:r>
            <w:proofErr w:type="gramEnd"/>
            <w:r>
              <w:rPr>
                <w:rFonts w:ascii="Times New Roman" w:hAnsi="Times New Roman"/>
                <w:sz w:val="24"/>
              </w:rPr>
              <w:t xml:space="preserve"> svou podnikovou strukturu podle jedné z následujících kategorií:</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akciová společnost,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vzájemná společnost/družstvo,</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ostatní společnosti jiné než akciové.</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Zacházení s deriváty</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Instituce specifikuje regulatorní zacházení s deriváty podle jedné z následujících kategorií:</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standardizovaný přístup k úvěrovému riziku protistrany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zjednodušený standardizovaný přístup k úvěrovému riziku protistrany,</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metoda původní expozice.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Typ instituce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w:t>
            </w:r>
            <w:proofErr w:type="gramStart"/>
            <w:r>
              <w:rPr>
                <w:rFonts w:ascii="Times New Roman" w:hAnsi="Times New Roman"/>
                <w:sz w:val="24"/>
              </w:rPr>
              <w:t>určí</w:t>
            </w:r>
            <w:proofErr w:type="gramEnd"/>
            <w:r>
              <w:rPr>
                <w:rFonts w:ascii="Times New Roman" w:hAnsi="Times New Roman"/>
                <w:sz w:val="24"/>
              </w:rPr>
              <w:t xml:space="preserve"> svůj typ instituce podle jedné z následujících kategorií:</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univerzální bankovnictví (retailové/komerční a investiční bankovnictví),</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retailové/komerční bankovnictví,</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investiční bankovnictví,</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specializovaný poskytovatel úvěrů,</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xml:space="preserve">– veřejné rozvojové </w:t>
            </w:r>
            <w:r>
              <w:rPr>
                <w:rFonts w:ascii="Times New Roman" w:hAnsi="Times New Roman"/>
                <w:color w:val="auto"/>
                <w:sz w:val="24"/>
              </w:rPr>
              <w:t>úvěrové instituce</w:t>
            </w:r>
            <w:r>
              <w:rPr>
                <w:rFonts w:ascii="Times New Roman" w:hAnsi="Times New Roman"/>
                <w:sz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jiný obchodní 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Instituce s veřejným rozvojovým útvarem</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které nejsou veřejnými rozvojovými </w:t>
            </w:r>
            <w:r>
              <w:rPr>
                <w:rFonts w:ascii="Times New Roman" w:hAnsi="Times New Roman"/>
                <w:color w:val="auto"/>
                <w:sz w:val="24"/>
              </w:rPr>
              <w:t>úvěrovými institucemi</w:t>
            </w:r>
            <w:r>
              <w:rPr>
                <w:rFonts w:ascii="Times New Roman" w:hAnsi="Times New Roman"/>
                <w:sz w:val="24"/>
              </w:rPr>
              <w:t>, uvedou, zda mají veřejný rozvojový útvar.</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Subjekt ručící za veřejnou rozvojovou úvěrovou instituci/útvar podle čl. 429a odst. 2 písm. d) CRR: ústřední vláda, regionální vláda, místní orgán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Instituce, které jsou veřejnou rozvojovou </w:t>
            </w:r>
            <w:r>
              <w:rPr>
                <w:rFonts w:ascii="Times New Roman" w:hAnsi="Times New Roman"/>
                <w:color w:val="auto"/>
                <w:sz w:val="24"/>
              </w:rPr>
              <w:t>úvěrovou institucí</w:t>
            </w:r>
            <w:r>
              <w:rPr>
                <w:rFonts w:ascii="Times New Roman" w:hAnsi="Times New Roman"/>
                <w:sz w:val="24"/>
              </w:rPr>
              <w:t xml:space="preserve">, nebo mají veřejný rozvojový útvar, uvedou, zda za ně </w:t>
            </w:r>
            <w:proofErr w:type="gramStart"/>
            <w:r>
              <w:rPr>
                <w:rFonts w:ascii="Times New Roman" w:hAnsi="Times New Roman"/>
                <w:sz w:val="24"/>
              </w:rPr>
              <w:t>ručí</w:t>
            </w:r>
            <w:proofErr w:type="gramEnd"/>
            <w:r>
              <w:rPr>
                <w:rFonts w:ascii="Times New Roman" w:hAnsi="Times New Roman"/>
                <w:sz w:val="24"/>
              </w:rPr>
              <w:t xml:space="preserve"> ústřední vláda, regionální vláda nebo místní orgán.</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Instituce uvedou hodnotu „TRUE“ (pravda) v řádku odpovídajícím příslušnému typu (typům) poskytovatele záruk a v ostatních řádcích hodnotu „FALSE“ (nepravda).</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lastRenderedPageBreak/>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Ústřední vláda ručící za veřejnou rozvojovou </w:t>
            </w:r>
            <w:r>
              <w:rPr>
                <w:rFonts w:ascii="Times New Roman" w:hAnsi="Times New Roman"/>
                <w:b/>
                <w:color w:val="auto"/>
                <w:sz w:val="24"/>
              </w:rPr>
              <w:t>úvěrovou instituci</w:t>
            </w:r>
            <w:r>
              <w:rPr>
                <w:rFonts w:ascii="Times New Roman" w:hAnsi="Times New Roman"/>
                <w:b/>
                <w:sz w:val="24"/>
              </w:rPr>
              <w:t>/útvar</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Regionální vláda ručící za veřejnou rozvojovou </w:t>
            </w:r>
            <w:r>
              <w:rPr>
                <w:rFonts w:ascii="Times New Roman" w:hAnsi="Times New Roman"/>
                <w:b/>
                <w:color w:val="auto"/>
                <w:sz w:val="24"/>
              </w:rPr>
              <w:t>úvěrovou instituci</w:t>
            </w:r>
            <w:r>
              <w:rPr>
                <w:rFonts w:ascii="Times New Roman" w:hAnsi="Times New Roman"/>
                <w:b/>
                <w:sz w:val="24"/>
              </w:rPr>
              <w:t>/útvar</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Místní orgán ručící za veřejnou rozvojovou </w:t>
            </w:r>
            <w:r>
              <w:rPr>
                <w:rFonts w:ascii="Times New Roman" w:hAnsi="Times New Roman"/>
                <w:b/>
                <w:color w:val="auto"/>
                <w:sz w:val="24"/>
              </w:rPr>
              <w:t>úvěrovou instituci</w:t>
            </w:r>
            <w:r>
              <w:rPr>
                <w:rFonts w:ascii="Times New Roman" w:hAnsi="Times New Roman"/>
                <w:b/>
                <w:sz w:val="24"/>
              </w:rPr>
              <w:t>/útvar</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Typ obdržené záruky podle čl. 429a odst. 2 písm. d)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Instituce, které jsou veřejnou rozvojovou </w:t>
            </w:r>
            <w:r>
              <w:rPr>
                <w:rFonts w:ascii="Times New Roman" w:hAnsi="Times New Roman"/>
                <w:color w:val="auto"/>
                <w:sz w:val="24"/>
              </w:rPr>
              <w:t>úvěrovou institucí</w:t>
            </w:r>
            <w:r>
              <w:rPr>
                <w:rFonts w:ascii="Times New Roman" w:hAnsi="Times New Roman"/>
                <w:sz w:val="24"/>
              </w:rPr>
              <w:t>, nebo mají veřejný rozvojový útvar, uvedou typ obdržené záruky.</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Instituce uvedou hodnotu „TRUE“ (pravda) v řádku odpovídajícím příslušnému typu (typům) záruk a v ostatních řádcích hodnotu „FALSE“ (nepravda).</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Povinnost chránit životaschopnost úvěrové instituce</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Přímá záruka za kapitálové požadavky, požadavky financování nebo poskytnuté podpůrné úvěry úvěrové instituce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Nepřímá záruka za kapitálové požadavky, požadavky financování nebo poskytnuté podpůrné úvěry úvěrové instituce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4035853"/>
      <w:r>
        <w:rPr>
          <w:rFonts w:ascii="Times New Roman" w:hAnsi="Times New Roman"/>
          <w:b/>
          <w:sz w:val="24"/>
        </w:rPr>
        <w:t>7.</w:t>
      </w:r>
      <w:r>
        <w:tab/>
      </w:r>
      <w:r>
        <w:rPr>
          <w:rFonts w:ascii="Times New Roman" w:hAnsi="Times New Roman"/>
          <w:b/>
          <w:sz w:val="24"/>
        </w:rPr>
        <w:t>C 48.00 Volatilita pákového poměru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Informace jsou shromažďovány za účelem sledování volatility pákového poměru. Tyto informace vykazují pouze velké instituce.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4035854"/>
      <w:r>
        <w:rPr>
          <w:rFonts w:ascii="Times New Roman" w:hAnsi="Times New Roman"/>
          <w:b/>
          <w:sz w:val="24"/>
        </w:rPr>
        <w:t>8.</w:t>
      </w:r>
      <w:r>
        <w:tab/>
      </w:r>
      <w:r>
        <w:rPr>
          <w:rFonts w:ascii="Times New Roman" w:hAnsi="Times New Roman"/>
          <w:b/>
          <w:sz w:val="24"/>
        </w:rPr>
        <w:t>C 48.01 Volatilita pákového poměru: střední hodnota za vykazované období</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Řádek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a sloupec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Pokyny</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Střední hodnota za vykazované období – hodnota expozice u transakcí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Instituce vykazují průměr denních hodnot hodnoty expozice u transakcí SFT za vykazované čtvrtletí po odečtení vyňatých obchodních expozic vůči ústřední protistraně u transakcí na účet klienta podle definice v řádcích 0010 a 0050 šablony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sz w:val="24"/>
              </w:rPr>
              <w:t>Střední hodnota za vykazované období – úpravy o účetní operace související s prodejem v případě transakcí SFT</w:t>
            </w:r>
            <w:r>
              <w:rPr>
                <w:rFonts w:ascii="Times New Roman" w:hAnsi="Times New Roman"/>
                <w:b/>
                <w:color w:val="auto"/>
                <w:sz w:val="24"/>
              </w:rPr>
              <w:t xml:space="preserv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Instituce vykazují průměr denních hodnot úprav o účetní operace související s prodejem v případě transakcí SFT za vykazované čtvrtletí, jak je definováno v řádku 0230</w:t>
            </w:r>
            <w:r>
              <w:rPr>
                <w:rFonts w:ascii="Times New Roman" w:hAnsi="Times New Roman"/>
                <w:sz w:val="24"/>
              </w:rPr>
              <w:t xml:space="preserve"> šablony C47.00</w:t>
            </w:r>
            <w:r>
              <w:rPr>
                <w:rFonts w:ascii="Times New Roman" w:hAnsi="Times New Roman"/>
                <w:color w:val="auto"/>
                <w:sz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4035855"/>
      <w:r>
        <w:rPr>
          <w:rFonts w:ascii="Times New Roman" w:hAnsi="Times New Roman"/>
          <w:b/>
          <w:sz w:val="24"/>
        </w:rPr>
        <w:t>9.</w:t>
      </w:r>
      <w:r>
        <w:tab/>
      </w:r>
      <w:r>
        <w:rPr>
          <w:rFonts w:ascii="Times New Roman" w:hAnsi="Times New Roman"/>
          <w:b/>
          <w:sz w:val="24"/>
        </w:rPr>
        <w:t>C 48.02 Volatilita pákového poměru: denní hodnoty za vykazované období</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Vykazují se denní hodnoty za čtvrtletí.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Řádek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a sloupec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Pokyny</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Referenční datum v rámci vykazovaného období</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Instituce uvedou den, k němuž se vztahuje vykázaná denní hodnota. Uvádí se každý den vykazovaného čtvrtletí.</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Hodnota expozice u transakcí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Instituce vykazují denní hodnoty hodnot expozice u transakcí SFT za vykazované čtvrtletí po odečtení vyňatých obchodních expozic vůči ústřední protistraně u transakcí na účet klienta podle definice v řádcích 0010 a 0050 šablony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Úpravy o účetní operace související s prodejem v případě transakcí SFT</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Instituce vykazují denní hodnoty úprav o účetní operace související s prodejem v případě transakcí SFT za vykazované čtvrtletí, jak je definováno v řádku 0230</w:t>
            </w:r>
            <w:r>
              <w:rPr>
                <w:rFonts w:ascii="Times New Roman" w:hAnsi="Times New Roman"/>
                <w:sz w:val="24"/>
              </w:rPr>
              <w:t xml:space="preserve"> šablony C 47.00</w:t>
            </w:r>
            <w:r>
              <w:rPr>
                <w:rFonts w:ascii="Times New Roman" w:hAnsi="Times New Roman"/>
                <w:color w:val="auto"/>
                <w:sz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cs-CZ"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17669"/>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178D"/>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70D"/>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546DD433-22B3-4F13-B763-CCF740FEA21E}"/>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71</Pages>
  <Words>20280</Words>
  <Characters>124209</Characters>
  <Application>Microsoft Office Word</Application>
  <DocSecurity>0</DocSecurity>
  <Lines>2822</Lines>
  <Paragraphs>1570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142919</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2024-12-09T15:06:00Z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2024-12-02T11:44:11Z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1bdd0a81-ab30-40d7-b7b3-4e5b226b2134</vt:lpwstr>
  </property>
  <property fmtid="{D5CDD505-2E9C-101B-9397-08002B2CF9AE}" pid="12" name="MSIP_Label_6bd9ddd1-4d20-43f6-abfa-fc3c07406f94_ContentBits">
    <vt:lpwstr>0</vt:lpwstr>
  </property>
</Properties>
</file>